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rtl w:val="0"/>
        </w:rPr>
        <w:t xml:space="preserve">Beni - Bolivia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3722977</wp:posOffset>
            </wp:positionH>
            <wp:positionV relativeFrom="paragraph">
              <wp:posOffset>-688779</wp:posOffset>
            </wp:positionV>
            <wp:extent cx="2632668" cy="2602175"/>
            <wp:effectExtent b="0" l="0" r="0" t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60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544" y="3780000"/>
                          <a:ext cx="26829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 </w:t>
      </w:r>
      <w:r w:rsidDel="00000000" w:rsidR="00000000" w:rsidRPr="00000000">
        <w:rPr>
          <w:i w:val="0"/>
          <w:color w:val="808080"/>
          <w:rtl w:val="0"/>
        </w:rPr>
        <w:t xml:space="preserve">Trinidad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213.564 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4</w:t>
      </w:r>
      <w:r w:rsidDel="00000000" w:rsidR="00000000" w:rsidRPr="00000000">
        <w:rPr>
          <w:color w:val="808080"/>
          <w:rtl w:val="0"/>
        </w:rPr>
        <w:t xml:space="preserve">22.008</w:t>
      </w:r>
      <w:r w:rsidDel="00000000" w:rsidR="00000000" w:rsidRPr="00000000">
        <w:rPr>
          <w:i w:val="0"/>
          <w:color w:val="808080"/>
          <w:rtl w:val="0"/>
        </w:rPr>
        <w:t xml:space="preserve"> habitantes (2012)</w:t>
      </w:r>
    </w:p>
    <w:p w:rsidR="00000000" w:rsidDel="00000000" w:rsidP="00000000" w:rsidRDefault="00000000" w:rsidRPr="00000000">
      <w:pPr>
        <w:pStyle w:val="Heading1"/>
        <w:spacing w:after="72" w:before="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808080"/>
          <w:sz w:val="22"/>
          <w:szCs w:val="22"/>
          <w:rtl w:val="0"/>
        </w:rPr>
        <w:t xml:space="preserve">Gobernador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808080"/>
          <w:sz w:val="22"/>
          <w:szCs w:val="22"/>
          <w:rtl w:val="0"/>
        </w:rPr>
        <w:t xml:space="preserve">Alex Ferrier Abidar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2280"/>
        <w:gridCol w:w="2880"/>
        <w:gridCol w:w="1320"/>
        <w:gridCol w:w="765"/>
        <w:gridCol w:w="1650"/>
        <w:tblGridChange w:id="0">
          <w:tblGrid>
            <w:gridCol w:w="2280"/>
            <w:gridCol w:w="2880"/>
            <w:gridCol w:w="1320"/>
            <w:gridCol w:w="765"/>
            <w:gridCol w:w="16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Alfabetismo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(Población 15 años y más)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96,1%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Mortalidad Infantil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(cada 1.000 nacidos)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186.064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el PBI 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2,43%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anuales (en US$)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332.741.360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0,639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Pobreza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Porcentaje de Pobreza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56,4%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FUNDEMPRESA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actividades económicas: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Existen en este departamento, diversos recursos y desafíos a tener en cuenta. El PBI total de 2014 alcanzó los 800 millones de US$, lo que implicó 1.805 U$S per cápita. La actividad principal es la ganadería extensiva de vacunos y luego la agricultura, por su clima y suelo, que lo hace apto para toda clase de cultivos tropicales como el maíz, el cacao, el café, la castaña, la vainilla, frutas y caucho pero que encuentra limita</w:t>
      </w:r>
      <w:r w:rsidDel="00000000" w:rsidR="00000000" w:rsidRPr="00000000">
        <w:rPr>
          <w:color w:val="808080"/>
          <w:rtl w:val="0"/>
        </w:rPr>
        <w:t xml:space="preserve">ciones en el manejo y uso eficiente del recurso hídrico</w:t>
      </w:r>
      <w:r w:rsidDel="00000000" w:rsidR="00000000" w:rsidRPr="00000000">
        <w:rPr>
          <w:i w:val="0"/>
          <w:color w:val="808080"/>
          <w:rtl w:val="0"/>
        </w:rPr>
        <w:t xml:space="preserve">. A su vez se dest</w:t>
      </w:r>
      <w:r w:rsidDel="00000000" w:rsidR="00000000" w:rsidRPr="00000000">
        <w:rPr>
          <w:color w:val="808080"/>
          <w:rtl w:val="0"/>
        </w:rPr>
        <w:t xml:space="preserve">aca la pesca de río (pacú, palometa sábalo, bagre y blanquillo entre otros) </w:t>
      </w:r>
      <w:r w:rsidDel="00000000" w:rsidR="00000000" w:rsidRPr="00000000">
        <w:rPr>
          <w:i w:val="0"/>
          <w:color w:val="808080"/>
          <w:rtl w:val="0"/>
        </w:rPr>
        <w:t xml:space="preserve">así como l</w:t>
      </w:r>
      <w:r w:rsidDel="00000000" w:rsidR="00000000" w:rsidRPr="00000000">
        <w:rPr>
          <w:color w:val="808080"/>
          <w:rtl w:val="0"/>
        </w:rPr>
        <w:t xml:space="preserve">a minería sobre todo de oro (también hay estaño, manganeso, plomo, berilio y columbita) y la producción maderera</w:t>
      </w:r>
      <w:r w:rsidDel="00000000" w:rsidR="00000000" w:rsidRPr="00000000">
        <w:rPr>
          <w:i w:val="0"/>
          <w:color w:val="80808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exportaciones: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En lo que hace a los 13 productos de exportación que Beni envió al exterior en 2015; se destacan las diversas formas de oro en bruto (51%) y las nueces amazónicas (48,16%), seguidas lejanamente por las maderas aserradas o desbastadas longitudinalmente (0,34%). </w:t>
      </w:r>
      <w:r w:rsidDel="00000000" w:rsidR="00000000" w:rsidRPr="00000000">
        <w:rPr>
          <w:color w:val="808080"/>
          <w:rtl w:val="0"/>
        </w:rPr>
        <w:t xml:space="preserve">En 2016, el producto de exportación que más ganancias generó fue el oro metálico producido industrialmente, seguido de las nueces.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i w:val="0"/>
          <w:color w:val="808080"/>
          <w:rtl w:val="0"/>
        </w:rPr>
        <w:t xml:space="preserve">El departamento además, cuenta con mercados de destino infrecuentes para los productos de otras regiones del país siendo India (33,06%), E.E.U.U. (25,13%), Reino Unido (12,45%) y Alemania (10,60%) sus mayores compradores pero incluyendo también a otros destinos de redistribución europeos como Países Bajos e Italia -consu</w:t>
      </w:r>
      <w:r w:rsidDel="00000000" w:rsidR="00000000" w:rsidRPr="00000000">
        <w:rPr>
          <w:color w:val="808080"/>
          <w:rtl w:val="0"/>
        </w:rPr>
        <w:t xml:space="preserve">midores de carne de lagarto-</w:t>
      </w:r>
      <w:r w:rsidDel="00000000" w:rsidR="00000000" w:rsidRPr="00000000">
        <w:rPr>
          <w:i w:val="0"/>
          <w:color w:val="808080"/>
          <w:rtl w:val="0"/>
        </w:rPr>
        <w:t xml:space="preserve">, los Emiratos Árabes, Australia y Canadá.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Si bien no estamos ante encadenamientos especialmente largos o complejos; las cadenas productivas más importantes del Beni son las las cárnicas, agro-alimentarias (azucarera, la del cacao, castaña, vainillera, cafetera), las forestal-madereras, las mineras y la piscícola. Los bosques del Beni poseen todo tipo de maderas de gran calidad y valor que son taladas y fraccionadas; 2.000.000 de cabezas vacunas pastan extensivamente para la producción de carne vacuna y procesados varios. Se encontraron yacimientos de estaño, manganeso, plomo, platino, oro, berilio y columbita que son oportunamente explotados para la venta en bruto pero también sufren algunos procesos de transformación industrial y artesanal; y los lagos y ríos son hábitat de pacú, palometa, sábalo, bagre y blanquillo que proveen a la elaboración de productos varios.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La economía del Beni es bastante equilibrada y se compone de participaciones considerables del sector primario y de la actividad minera; y si bien eso la hace no-dependiente de una sóla actividad, esta estructura no se ha modificado ni intensificado a lo largo del tiempo implicando poco crecimiento y dinamismo para la región. En este sentido, en los últimos años ha crecido la participación del sector bancario y los servicios de la administración pública.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2014, el sector primario acumuló el 38% del PBI, mientras el sector secundario el 22% y los servicios, un 40%.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/>
    </w:tcPr>
    <w:tblStylePr w:type="band1Horz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b8cce4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b8cce4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