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Subtitle"/>
        <w:contextualSpacing w:val="0"/>
      </w:pPr>
      <w:r w:rsidDel="00000000" w:rsidR="00000000" w:rsidRPr="00000000">
        <w:rPr>
          <w:rtl w:val="0"/>
        </w:rPr>
        <w:t xml:space="preserve">Chuquisaca - Bolivia</w:t>
      </w:r>
      <w:r w:rsidDel="00000000" w:rsidR="00000000" w:rsidRPr="00000000">
        <w:drawing>
          <wp:anchor allowOverlap="1" behindDoc="0" distB="0" distT="0" distL="114300" distR="114300" hidden="0" layoutInCell="0" locked="0" relativeHeight="0" simplePos="0">
            <wp:simplePos x="0" y="0"/>
            <wp:positionH relativeFrom="margin">
              <wp:posOffset>3722977</wp:posOffset>
            </wp:positionH>
            <wp:positionV relativeFrom="paragraph">
              <wp:posOffset>-688779</wp:posOffset>
            </wp:positionV>
            <wp:extent cx="2632668" cy="2602175"/>
            <wp:effectExtent b="0" l="0" r="0" t="0"/>
            <wp:wrapNone/>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2632668" cy="260217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38100</wp:posOffset>
                </wp:positionH>
                <wp:positionV relativeFrom="paragraph">
                  <wp:posOffset>228600</wp:posOffset>
                </wp:positionV>
                <wp:extent cx="2679700" cy="12700"/>
                <wp:effectExtent b="0" l="0" r="0" t="0"/>
                <wp:wrapNone/>
                <wp:docPr id="2" name=""/>
                <a:graphic>
                  <a:graphicData uri="http://schemas.microsoft.com/office/word/2010/wordprocessingShape">
                    <wps:wsp>
                      <wps:cNvCnPr/>
                      <wps:spPr>
                        <a:xfrm>
                          <a:off x="4004544" y="3780000"/>
                          <a:ext cx="2682909" cy="0"/>
                        </a:xfrm>
                        <a:prstGeom prst="straightConnector1">
                          <a:avLst/>
                        </a:prstGeom>
                        <a:noFill/>
                        <a:ln cap="flat" cmpd="sng" w="9525">
                          <a:solidFill>
                            <a:srgbClr val="4A7DBA"/>
                          </a:solidFill>
                          <a:prstDash val="solid"/>
                          <a:round/>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38100</wp:posOffset>
                </wp:positionH>
                <wp:positionV relativeFrom="paragraph">
                  <wp:posOffset>228600</wp:posOffset>
                </wp:positionV>
                <wp:extent cx="2679700" cy="12700"/>
                <wp:effectExtent b="0" l="0" r="0" t="0"/>
                <wp:wrapNone/>
                <wp:docPr id="2" name="image03.png"/>
                <a:graphic>
                  <a:graphicData uri="http://schemas.openxmlformats.org/drawingml/2006/picture">
                    <pic:pic>
                      <pic:nvPicPr>
                        <pic:cNvPr id="0" name="image03.png"/>
                        <pic:cNvPicPr preferRelativeResize="0"/>
                      </pic:nvPicPr>
                      <pic:blipFill>
                        <a:blip r:embed="rId6"/>
                        <a:srcRect/>
                        <a:stretch>
                          <a:fillRect/>
                        </a:stretch>
                      </pic:blipFill>
                      <pic:spPr>
                        <a:xfrm>
                          <a:off x="0" y="0"/>
                          <a:ext cx="2679700" cy="12700"/>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i w:val="1"/>
          <w:color w:val="808080"/>
          <w:rtl w:val="0"/>
        </w:rPr>
        <w:t xml:space="preserve">Ciudad Capital: </w:t>
      </w:r>
      <w:r w:rsidDel="00000000" w:rsidR="00000000" w:rsidRPr="00000000">
        <w:rPr>
          <w:i w:val="0"/>
          <w:color w:val="808080"/>
          <w:rtl w:val="0"/>
        </w:rPr>
        <w:t xml:space="preserve">Sucre</w:t>
      </w:r>
    </w:p>
    <w:p w:rsidR="00000000" w:rsidDel="00000000" w:rsidP="00000000" w:rsidRDefault="00000000" w:rsidRPr="00000000">
      <w:pPr>
        <w:contextualSpacing w:val="0"/>
      </w:pPr>
      <w:r w:rsidDel="00000000" w:rsidR="00000000" w:rsidRPr="00000000">
        <w:rPr>
          <w:i w:val="1"/>
          <w:color w:val="808080"/>
          <w:rtl w:val="0"/>
        </w:rPr>
        <w:t xml:space="preserve">Superficie:</w:t>
      </w:r>
      <w:r w:rsidDel="00000000" w:rsidR="00000000" w:rsidRPr="00000000">
        <w:rPr>
          <w:rFonts w:ascii="Calibri" w:cs="Calibri" w:eastAsia="Calibri" w:hAnsi="Calibri"/>
          <w:color w:val="000000"/>
          <w:rtl w:val="0"/>
        </w:rPr>
        <w:t xml:space="preserve"> </w:t>
      </w:r>
      <w:r w:rsidDel="00000000" w:rsidR="00000000" w:rsidRPr="00000000">
        <w:rPr>
          <w:i w:val="0"/>
          <w:color w:val="808080"/>
          <w:rtl w:val="0"/>
        </w:rPr>
        <w:t xml:space="preserve">51.524</w:t>
      </w:r>
      <w:r w:rsidDel="00000000" w:rsidR="00000000" w:rsidRPr="00000000">
        <w:rPr>
          <w:rFonts w:ascii="Calibri" w:cs="Calibri" w:eastAsia="Calibri" w:hAnsi="Calibri"/>
          <w:color w:val="000000"/>
          <w:rtl w:val="0"/>
        </w:rPr>
        <w:t xml:space="preserve"> </w:t>
      </w:r>
      <w:r w:rsidDel="00000000" w:rsidR="00000000" w:rsidRPr="00000000">
        <w:rPr>
          <w:i w:val="0"/>
          <w:color w:val="808080"/>
          <w:rtl w:val="0"/>
        </w:rPr>
        <w:t xml:space="preserve">Km</w:t>
      </w:r>
      <w:r w:rsidDel="00000000" w:rsidR="00000000" w:rsidRPr="00000000">
        <w:rPr>
          <w:i w:val="0"/>
          <w:color w:val="808080"/>
          <w:vertAlign w:val="superscript"/>
          <w:rtl w:val="0"/>
        </w:rPr>
        <w:t xml:space="preserve">2</w:t>
      </w:r>
      <w:r w:rsidDel="00000000" w:rsidR="00000000" w:rsidRPr="00000000">
        <w:rPr>
          <w:rtl w:val="0"/>
        </w:rPr>
      </w:r>
    </w:p>
    <w:p w:rsidR="00000000" w:rsidDel="00000000" w:rsidP="00000000" w:rsidRDefault="00000000" w:rsidRPr="00000000">
      <w:pPr>
        <w:contextualSpacing w:val="0"/>
      </w:pPr>
      <w:r w:rsidDel="00000000" w:rsidR="00000000" w:rsidRPr="00000000">
        <w:rPr>
          <w:i w:val="1"/>
          <w:color w:val="808080"/>
          <w:rtl w:val="0"/>
        </w:rPr>
        <w:t xml:space="preserve">Población:</w:t>
      </w:r>
      <w:r w:rsidDel="00000000" w:rsidR="00000000" w:rsidRPr="00000000">
        <w:rPr>
          <w:rFonts w:ascii="Calibri" w:cs="Calibri" w:eastAsia="Calibri" w:hAnsi="Calibri"/>
          <w:color w:val="000000"/>
          <w:rtl w:val="0"/>
        </w:rPr>
        <w:t xml:space="preserve"> </w:t>
      </w:r>
      <w:r w:rsidDel="00000000" w:rsidR="00000000" w:rsidRPr="00000000">
        <w:rPr>
          <w:i w:val="0"/>
          <w:color w:val="808080"/>
          <w:rtl w:val="0"/>
        </w:rPr>
        <w:t xml:space="preserve">581.347</w:t>
      </w:r>
      <w:r w:rsidDel="00000000" w:rsidR="00000000" w:rsidRPr="00000000">
        <w:rPr>
          <w:rFonts w:ascii="Calibri" w:cs="Calibri" w:eastAsia="Calibri" w:hAnsi="Calibri"/>
          <w:color w:val="000000"/>
          <w:rtl w:val="0"/>
        </w:rPr>
        <w:t xml:space="preserve"> </w:t>
      </w:r>
      <w:r w:rsidDel="00000000" w:rsidR="00000000" w:rsidRPr="00000000">
        <w:rPr>
          <w:i w:val="0"/>
          <w:color w:val="808080"/>
          <w:rtl w:val="0"/>
        </w:rPr>
        <w:t xml:space="preserve">habitantes (2012)</w:t>
      </w:r>
    </w:p>
    <w:p w:rsidR="00000000" w:rsidDel="00000000" w:rsidP="00000000" w:rsidRDefault="00000000" w:rsidRPr="00000000">
      <w:pPr>
        <w:contextualSpacing w:val="0"/>
      </w:pPr>
      <w:r w:rsidDel="00000000" w:rsidR="00000000" w:rsidRPr="00000000">
        <w:rPr>
          <w:i w:val="1"/>
          <w:color w:val="808080"/>
          <w:rtl w:val="0"/>
        </w:rPr>
        <w:t xml:space="preserve">Gobernador </w:t>
      </w:r>
      <w:r w:rsidDel="00000000" w:rsidR="00000000" w:rsidRPr="00000000">
        <w:rPr>
          <w:i w:val="0"/>
          <w:color w:val="808080"/>
          <w:rtl w:val="0"/>
        </w:rPr>
        <w:t xml:space="preserve">Esteban Urquizu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tbl>
      <w:tblPr>
        <w:tblStyle w:val="Table1"/>
        <w:bidiVisual w:val="0"/>
        <w:tblW w:w="8940.0" w:type="dxa"/>
        <w:jc w:val="center"/>
        <w:tblBorders>
          <w:top w:color="000000" w:space="0" w:sz="4" w:val="single"/>
          <w:left w:color="000000" w:space="0" w:sz="4" w:val="single"/>
          <w:bottom w:color="000000" w:space="0" w:sz="4" w:val="single"/>
          <w:right w:color="000000" w:space="0" w:sz="4" w:val="single"/>
          <w:insideH w:color="ffffff" w:space="0" w:sz="4" w:val="single"/>
          <w:insideV w:color="000000" w:space="0" w:sz="4" w:val="single"/>
        </w:tblBorders>
        <w:tblLayout w:type="fixed"/>
        <w:tblLook w:val="04A0"/>
      </w:tblPr>
      <w:tblGrid>
        <w:gridCol w:w="2280"/>
        <w:gridCol w:w="2895"/>
        <w:gridCol w:w="1275"/>
        <w:gridCol w:w="855"/>
        <w:gridCol w:w="1635"/>
        <w:tblGridChange w:id="0">
          <w:tblGrid>
            <w:gridCol w:w="2280"/>
            <w:gridCol w:w="2895"/>
            <w:gridCol w:w="1275"/>
            <w:gridCol w:w="855"/>
            <w:gridCol w:w="1635"/>
          </w:tblGrid>
        </w:tblGridChange>
      </w:tblGrid>
      <w:tr>
        <w:tc>
          <w:tcPr/>
          <w:p w:rsidR="00000000" w:rsidDel="00000000" w:rsidP="00000000" w:rsidRDefault="00000000" w:rsidRPr="00000000">
            <w:pPr>
              <w:contextualSpacing w:val="0"/>
              <w:jc w:val="center"/>
            </w:pPr>
            <w:r w:rsidDel="00000000" w:rsidR="00000000" w:rsidRPr="00000000">
              <w:rPr>
                <w:b w:val="0"/>
                <w:color w:val="000000"/>
                <w:rtl w:val="0"/>
              </w:rPr>
              <w:t xml:space="preserve">Indicadores de referencia</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t xml:space="preserve">Indicador</w:t>
            </w:r>
          </w:p>
        </w:tc>
        <w:tc>
          <w:tcPr/>
          <w:p w:rsidR="00000000" w:rsidDel="00000000" w:rsidP="00000000" w:rsidRDefault="00000000" w:rsidRPr="00000000">
            <w:pPr>
              <w:contextualSpacing w:val="0"/>
            </w:pPr>
            <w:r w:rsidDel="00000000" w:rsidR="00000000" w:rsidRPr="00000000">
              <w:rPr>
                <w:rtl w:val="0"/>
              </w:rPr>
              <w:t xml:space="preserve">Valor</w:t>
            </w:r>
          </w:p>
        </w:tc>
        <w:tc>
          <w:tcPr/>
          <w:p w:rsidR="00000000" w:rsidDel="00000000" w:rsidP="00000000" w:rsidRDefault="00000000" w:rsidRPr="00000000">
            <w:pPr>
              <w:contextualSpacing w:val="0"/>
            </w:pPr>
            <w:r w:rsidDel="00000000" w:rsidR="00000000" w:rsidRPr="00000000">
              <w:rPr>
                <w:rtl w:val="0"/>
              </w:rPr>
              <w:t xml:space="preserve">Año</w:t>
            </w:r>
          </w:p>
        </w:tc>
        <w:tc>
          <w:tcPr/>
          <w:p w:rsidR="00000000" w:rsidDel="00000000" w:rsidP="00000000" w:rsidRDefault="00000000" w:rsidRPr="00000000">
            <w:pPr>
              <w:contextualSpacing w:val="0"/>
            </w:pPr>
            <w:r w:rsidDel="00000000" w:rsidR="00000000" w:rsidRPr="00000000">
              <w:rPr>
                <w:rtl w:val="0"/>
              </w:rPr>
              <w:t xml:space="preserve">Fuente</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Educación</w:t>
            </w:r>
          </w:p>
        </w:tc>
        <w:tc>
          <w:tcPr>
            <w:vAlign w:val="center"/>
          </w:tcPr>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rtl w:val="0"/>
              </w:rPr>
              <w:t xml:space="preserve">Tasa de Alfabetismo</w:t>
            </w:r>
          </w:p>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rtl w:val="0"/>
              </w:rPr>
              <w:t xml:space="preserve">(Población 15 años y más)</w:t>
            </w:r>
            <w:r w:rsidDel="00000000" w:rsidR="00000000" w:rsidRPr="00000000">
              <w:rPr>
                <w:rtl w:val="0"/>
              </w:rPr>
            </w:r>
          </w:p>
        </w:tc>
        <w:tc>
          <w:tcPr>
            <w:vAlign w:val="center"/>
          </w:tcPr>
          <w:p w:rsidR="00000000" w:rsidDel="00000000" w:rsidP="00000000" w:rsidRDefault="00000000" w:rsidRPr="00000000">
            <w:pPr>
              <w:contextualSpacing w:val="0"/>
              <w:jc w:val="center"/>
            </w:pPr>
            <w:r w:rsidDel="00000000" w:rsidR="00000000" w:rsidRPr="00000000">
              <w:rPr>
                <w:rtl w:val="0"/>
              </w:rPr>
              <w:t xml:space="preserve">83,04%</w:t>
            </w:r>
          </w:p>
        </w:tc>
        <w:tc>
          <w:tcPr>
            <w:vAlign w:val="center"/>
          </w:tcPr>
          <w:p w:rsidR="00000000" w:rsidDel="00000000" w:rsidP="00000000" w:rsidRDefault="00000000" w:rsidRPr="00000000">
            <w:pPr>
              <w:contextualSpacing w:val="0"/>
              <w:jc w:val="center"/>
            </w:pPr>
            <w:r w:rsidDel="00000000" w:rsidR="00000000" w:rsidRPr="00000000">
              <w:rPr>
                <w:rtl w:val="0"/>
              </w:rPr>
              <w:t xml:space="preserve">2013</w:t>
            </w:r>
          </w:p>
        </w:tc>
        <w:tc>
          <w:tcPr>
            <w:vAlign w:val="center"/>
          </w:tcPr>
          <w:p w:rsidR="00000000" w:rsidDel="00000000" w:rsidP="00000000" w:rsidRDefault="00000000" w:rsidRPr="00000000">
            <w:pPr>
              <w:contextualSpacing w:val="0"/>
              <w:jc w:val="center"/>
            </w:pPr>
            <w:r w:rsidDel="00000000" w:rsidR="00000000" w:rsidRPr="00000000">
              <w:rPr>
                <w:rtl w:val="0"/>
              </w:rPr>
              <w:t xml:space="preserve">INEB</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Salud</w:t>
            </w:r>
          </w:p>
        </w:tc>
        <w:tc>
          <w:tcPr>
            <w:vAlign w:val="center"/>
          </w:tcPr>
          <w:p w:rsidR="00000000" w:rsidDel="00000000" w:rsidP="00000000" w:rsidRDefault="00000000" w:rsidRPr="00000000">
            <w:pPr>
              <w:contextualSpacing w:val="0"/>
              <w:jc w:val="center"/>
            </w:pPr>
            <w:r w:rsidDel="00000000" w:rsidR="00000000" w:rsidRPr="00000000">
              <w:rPr>
                <w:rtl w:val="0"/>
              </w:rPr>
              <w:t xml:space="preserve">Mortalidad Infantil</w:t>
            </w:r>
          </w:p>
          <w:p w:rsidR="00000000" w:rsidDel="00000000" w:rsidP="00000000" w:rsidRDefault="00000000" w:rsidRPr="00000000">
            <w:pPr>
              <w:contextualSpacing w:val="0"/>
              <w:jc w:val="center"/>
            </w:pPr>
            <w:r w:rsidDel="00000000" w:rsidR="00000000" w:rsidRPr="00000000">
              <w:rPr>
                <w:rtl w:val="0"/>
              </w:rPr>
              <w:t xml:space="preserve">(cada 1.000 nacidos)</w:t>
            </w:r>
          </w:p>
        </w:tc>
        <w:tc>
          <w:tcPr>
            <w:vAlign w:val="center"/>
          </w:tcPr>
          <w:p w:rsidR="00000000" w:rsidDel="00000000" w:rsidP="00000000" w:rsidRDefault="00000000" w:rsidRPr="00000000">
            <w:pPr>
              <w:contextualSpacing w:val="0"/>
              <w:jc w:val="center"/>
            </w:pPr>
            <w:r w:rsidDel="00000000" w:rsidR="00000000" w:rsidRPr="00000000">
              <w:rPr>
                <w:rtl w:val="0"/>
              </w:rPr>
              <w:t xml:space="preserve">239</w:t>
            </w:r>
          </w:p>
        </w:tc>
        <w:tc>
          <w:tcPr>
            <w:vAlign w:val="center"/>
          </w:tcPr>
          <w:p w:rsidR="00000000" w:rsidDel="00000000" w:rsidP="00000000" w:rsidRDefault="00000000" w:rsidRPr="00000000">
            <w:pPr>
              <w:contextualSpacing w:val="0"/>
              <w:jc w:val="center"/>
            </w:pPr>
            <w:r w:rsidDel="00000000" w:rsidR="00000000" w:rsidRPr="00000000">
              <w:rPr>
                <w:rtl w:val="0"/>
              </w:rPr>
              <w:t xml:space="preserve">2008</w:t>
            </w:r>
          </w:p>
        </w:tc>
        <w:tc>
          <w:tcPr>
            <w:vAlign w:val="center"/>
          </w:tcPr>
          <w:p w:rsidR="00000000" w:rsidDel="00000000" w:rsidP="00000000" w:rsidRDefault="00000000" w:rsidRPr="00000000">
            <w:pPr>
              <w:contextualSpacing w:val="0"/>
              <w:jc w:val="center"/>
            </w:pPr>
            <w:r w:rsidDel="00000000" w:rsidR="00000000" w:rsidRPr="00000000">
              <w:rPr>
                <w:rtl w:val="0"/>
              </w:rPr>
              <w:t xml:space="preserve">INEB</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Empleo</w:t>
            </w:r>
          </w:p>
        </w:tc>
        <w:tc>
          <w:tcPr>
            <w:vAlign w:val="center"/>
          </w:tcPr>
          <w:p w:rsidR="00000000" w:rsidDel="00000000" w:rsidP="00000000" w:rsidRDefault="00000000" w:rsidRPr="00000000">
            <w:pPr>
              <w:contextualSpacing w:val="0"/>
              <w:jc w:val="center"/>
            </w:pPr>
            <w:r w:rsidDel="00000000" w:rsidR="00000000" w:rsidRPr="00000000">
              <w:rPr>
                <w:rtl w:val="0"/>
              </w:rPr>
              <w:t xml:space="preserve">PEA</w:t>
            </w:r>
          </w:p>
        </w:tc>
        <w:tc>
          <w:tcPr>
            <w:vAlign w:val="center"/>
          </w:tcPr>
          <w:p w:rsidR="00000000" w:rsidDel="00000000" w:rsidP="00000000" w:rsidRDefault="00000000" w:rsidRPr="00000000">
            <w:pPr>
              <w:contextualSpacing w:val="0"/>
              <w:jc w:val="center"/>
            </w:pPr>
            <w:r w:rsidDel="00000000" w:rsidR="00000000" w:rsidRPr="00000000">
              <w:rPr>
                <w:rtl w:val="0"/>
              </w:rPr>
              <w:t xml:space="preserve">248.706</w:t>
            </w:r>
          </w:p>
        </w:tc>
        <w:tc>
          <w:tcPr>
            <w:vAlign w:val="center"/>
          </w:tcPr>
          <w:p w:rsidR="00000000" w:rsidDel="00000000" w:rsidP="00000000" w:rsidRDefault="00000000" w:rsidRPr="00000000">
            <w:pPr>
              <w:contextualSpacing w:val="0"/>
              <w:jc w:val="center"/>
            </w:pPr>
            <w:r w:rsidDel="00000000" w:rsidR="00000000" w:rsidRPr="00000000">
              <w:rPr>
                <w:rtl w:val="0"/>
              </w:rPr>
              <w:t xml:space="preserve">2012</w:t>
            </w:r>
          </w:p>
        </w:tc>
        <w:tc>
          <w:tcPr>
            <w:vAlign w:val="center"/>
          </w:tcPr>
          <w:p w:rsidR="00000000" w:rsidDel="00000000" w:rsidP="00000000" w:rsidRDefault="00000000" w:rsidRPr="00000000">
            <w:pPr>
              <w:contextualSpacing w:val="0"/>
              <w:jc w:val="center"/>
            </w:pPr>
            <w:r w:rsidDel="00000000" w:rsidR="00000000" w:rsidRPr="00000000">
              <w:rPr>
                <w:rtl w:val="0"/>
              </w:rPr>
              <w:t xml:space="preserve">INEB</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PBI</w:t>
            </w:r>
          </w:p>
        </w:tc>
        <w:tc>
          <w:tcPr>
            <w:vAlign w:val="center"/>
          </w:tcPr>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rtl w:val="0"/>
              </w:rPr>
              <w:t xml:space="preserve">Participación</w:t>
            </w:r>
          </w:p>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rtl w:val="0"/>
              </w:rPr>
              <w:t xml:space="preserve">en el PBI nacional</w:t>
            </w:r>
            <w:r w:rsidDel="00000000" w:rsidR="00000000" w:rsidRPr="00000000">
              <w:rPr>
                <w:rtl w:val="0"/>
              </w:rPr>
            </w:r>
          </w:p>
        </w:tc>
        <w:tc>
          <w:tcPr>
            <w:vAlign w:val="center"/>
          </w:tcPr>
          <w:p w:rsidR="00000000" w:rsidDel="00000000" w:rsidP="00000000" w:rsidRDefault="00000000" w:rsidRPr="00000000">
            <w:pPr>
              <w:contextualSpacing w:val="0"/>
              <w:jc w:val="center"/>
            </w:pPr>
            <w:r w:rsidDel="00000000" w:rsidR="00000000" w:rsidRPr="00000000">
              <w:rPr>
                <w:rtl w:val="0"/>
              </w:rPr>
              <w:t xml:space="preserve">4,85%</w:t>
            </w:r>
          </w:p>
        </w:tc>
        <w:tc>
          <w:tcPr>
            <w:vAlign w:val="center"/>
          </w:tcPr>
          <w:p w:rsidR="00000000" w:rsidDel="00000000" w:rsidP="00000000" w:rsidRDefault="00000000" w:rsidRPr="00000000">
            <w:pPr>
              <w:contextualSpacing w:val="0"/>
              <w:jc w:val="center"/>
            </w:pPr>
            <w:r w:rsidDel="00000000" w:rsidR="00000000" w:rsidRPr="00000000">
              <w:rPr>
                <w:rtl w:val="0"/>
              </w:rPr>
              <w:t xml:space="preserve">2013</w:t>
            </w:r>
          </w:p>
        </w:tc>
        <w:tc>
          <w:tcPr>
            <w:vAlign w:val="center"/>
          </w:tcPr>
          <w:p w:rsidR="00000000" w:rsidDel="00000000" w:rsidP="00000000" w:rsidRDefault="00000000" w:rsidRPr="00000000">
            <w:pPr>
              <w:contextualSpacing w:val="0"/>
              <w:jc w:val="center"/>
            </w:pPr>
            <w:r w:rsidDel="00000000" w:rsidR="00000000" w:rsidRPr="00000000">
              <w:rPr>
                <w:rtl w:val="0"/>
              </w:rPr>
              <w:t xml:space="preserve">INEB</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Exportaciones</w:t>
            </w:r>
          </w:p>
        </w:tc>
        <w:tc>
          <w:tcPr>
            <w:vAlign w:val="center"/>
          </w:tcPr>
          <w:p w:rsidR="00000000" w:rsidDel="00000000" w:rsidP="00000000" w:rsidRDefault="00000000" w:rsidRPr="00000000">
            <w:pPr>
              <w:contextualSpacing w:val="0"/>
              <w:jc w:val="center"/>
            </w:pPr>
            <w:r w:rsidDel="00000000" w:rsidR="00000000" w:rsidRPr="00000000">
              <w:rPr>
                <w:rtl w:val="0"/>
              </w:rPr>
              <w:t xml:space="preserve">Valor de exportaciones</w:t>
            </w:r>
          </w:p>
          <w:p w:rsidR="00000000" w:rsidDel="00000000" w:rsidP="00000000" w:rsidRDefault="00000000" w:rsidRPr="00000000">
            <w:pPr>
              <w:contextualSpacing w:val="0"/>
              <w:jc w:val="center"/>
            </w:pPr>
            <w:r w:rsidDel="00000000" w:rsidR="00000000" w:rsidRPr="00000000">
              <w:rPr>
                <w:rtl w:val="0"/>
              </w:rPr>
              <w:t xml:space="preserve">anuales (en US$)</w:t>
            </w:r>
          </w:p>
        </w:tc>
        <w:tc>
          <w:tcPr>
            <w:vAlign w:val="center"/>
          </w:tcPr>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rtl w:val="0"/>
              </w:rPr>
              <w:t xml:space="preserve">72.455.188</w:t>
            </w:r>
            <w:r w:rsidDel="00000000" w:rsidR="00000000" w:rsidRPr="00000000">
              <w:rPr>
                <w:rtl w:val="0"/>
              </w:rPr>
            </w:r>
          </w:p>
        </w:tc>
        <w:tc>
          <w:tcPr>
            <w:vAlign w:val="center"/>
          </w:tcPr>
          <w:p w:rsidR="00000000" w:rsidDel="00000000" w:rsidP="00000000" w:rsidRDefault="00000000" w:rsidRPr="00000000">
            <w:pPr>
              <w:contextualSpacing w:val="0"/>
              <w:jc w:val="center"/>
            </w:pPr>
            <w:r w:rsidDel="00000000" w:rsidR="00000000" w:rsidRPr="00000000">
              <w:rPr>
                <w:rtl w:val="0"/>
              </w:rPr>
              <w:t xml:space="preserve">2015</w:t>
            </w:r>
          </w:p>
        </w:tc>
        <w:tc>
          <w:tcPr>
            <w:vAlign w:val="center"/>
          </w:tcPr>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rtl w:val="0"/>
              </w:rPr>
              <w:t xml:space="preserve">IBCE</w:t>
            </w:r>
            <w:r w:rsidDel="00000000" w:rsidR="00000000" w:rsidRPr="00000000">
              <w:rPr>
                <w:rtl w:val="0"/>
              </w:rPr>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IDH</w:t>
            </w:r>
          </w:p>
        </w:tc>
        <w:tc>
          <w:tcPr>
            <w:vAlign w:val="center"/>
          </w:tcPr>
          <w:p w:rsidR="00000000" w:rsidDel="00000000" w:rsidP="00000000" w:rsidRDefault="00000000" w:rsidRPr="00000000">
            <w:pPr>
              <w:contextualSpacing w:val="0"/>
              <w:jc w:val="center"/>
            </w:pPr>
            <w:r w:rsidDel="00000000" w:rsidR="00000000" w:rsidRPr="00000000">
              <w:rPr>
                <w:rtl w:val="0"/>
              </w:rPr>
              <w:t xml:space="preserve">Índice de Desarrollo Humano</w:t>
            </w:r>
          </w:p>
        </w:tc>
        <w:tc>
          <w:tcPr>
            <w:vAlign w:val="center"/>
          </w:tcPr>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rtl w:val="0"/>
              </w:rPr>
              <w:t xml:space="preserve">0.573</w:t>
            </w:r>
            <w:r w:rsidDel="00000000" w:rsidR="00000000" w:rsidRPr="00000000">
              <w:rPr>
                <w:rtl w:val="0"/>
              </w:rPr>
            </w:r>
          </w:p>
        </w:tc>
        <w:tc>
          <w:tcPr>
            <w:vAlign w:val="center"/>
          </w:tcPr>
          <w:p w:rsidR="00000000" w:rsidDel="00000000" w:rsidP="00000000" w:rsidRDefault="00000000" w:rsidRPr="00000000">
            <w:pPr>
              <w:contextualSpacing w:val="0"/>
              <w:jc w:val="center"/>
            </w:pPr>
            <w:r w:rsidDel="00000000" w:rsidR="00000000" w:rsidRPr="00000000">
              <w:rPr>
                <w:rtl w:val="0"/>
              </w:rPr>
              <w:t xml:space="preserve">2015</w:t>
            </w:r>
          </w:p>
        </w:tc>
        <w:tc>
          <w:tcPr>
            <w:vAlign w:val="center"/>
          </w:tcPr>
          <w:p w:rsidR="00000000" w:rsidDel="00000000" w:rsidP="00000000" w:rsidRDefault="00000000" w:rsidRPr="00000000">
            <w:pPr>
              <w:contextualSpacing w:val="0"/>
              <w:jc w:val="center"/>
            </w:pPr>
            <w:r w:rsidDel="00000000" w:rsidR="00000000" w:rsidRPr="00000000">
              <w:rPr>
                <w:rtl w:val="0"/>
              </w:rPr>
              <w:t xml:space="preserve">PNUD</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Pobreza</w:t>
            </w:r>
            <w:r w:rsidDel="00000000" w:rsidR="00000000" w:rsidRPr="00000000">
              <w:rPr>
                <w:rtl w:val="0"/>
              </w:rPr>
            </w:r>
          </w:p>
        </w:tc>
        <w:tc>
          <w:tcPr>
            <w:vAlign w:val="center"/>
          </w:tcPr>
          <w:p w:rsidR="00000000" w:rsidDel="00000000" w:rsidP="00000000" w:rsidRDefault="00000000" w:rsidRPr="00000000">
            <w:pPr>
              <w:contextualSpacing w:val="0"/>
              <w:jc w:val="center"/>
            </w:pPr>
            <w:r w:rsidDel="00000000" w:rsidR="00000000" w:rsidRPr="00000000">
              <w:rPr>
                <w:rtl w:val="0"/>
              </w:rPr>
              <w:t xml:space="preserve">Porcentaje de Pobreza</w:t>
            </w:r>
          </w:p>
        </w:tc>
        <w:tc>
          <w:tcPr>
            <w:vAlign w:val="center"/>
          </w:tcPr>
          <w:p w:rsidR="00000000" w:rsidDel="00000000" w:rsidP="00000000" w:rsidRDefault="00000000" w:rsidRPr="00000000">
            <w:pPr>
              <w:contextualSpacing w:val="0"/>
              <w:jc w:val="center"/>
            </w:pPr>
            <w:r w:rsidDel="00000000" w:rsidR="00000000" w:rsidRPr="00000000">
              <w:rPr>
                <w:rtl w:val="0"/>
              </w:rPr>
              <w:t xml:space="preserve">54,5%</w:t>
            </w:r>
          </w:p>
        </w:tc>
        <w:tc>
          <w:tcPr>
            <w:vAlign w:val="center"/>
          </w:tcPr>
          <w:p w:rsidR="00000000" w:rsidDel="00000000" w:rsidP="00000000" w:rsidRDefault="00000000" w:rsidRPr="00000000">
            <w:pPr>
              <w:contextualSpacing w:val="0"/>
              <w:jc w:val="center"/>
            </w:pPr>
            <w:r w:rsidDel="00000000" w:rsidR="00000000" w:rsidRPr="00000000">
              <w:rPr>
                <w:rtl w:val="0"/>
              </w:rPr>
              <w:t xml:space="preserve">2012</w:t>
            </w:r>
          </w:p>
        </w:tc>
        <w:tc>
          <w:tcPr>
            <w:vAlign w:val="center"/>
          </w:tcPr>
          <w:p w:rsidR="00000000" w:rsidDel="00000000" w:rsidP="00000000" w:rsidRDefault="00000000" w:rsidRPr="00000000">
            <w:pPr>
              <w:contextualSpacing w:val="0"/>
              <w:jc w:val="center"/>
            </w:pPr>
            <w:r w:rsidDel="00000000" w:rsidR="00000000" w:rsidRPr="00000000">
              <w:rPr>
                <w:rtl w:val="0"/>
              </w:rPr>
              <w:t xml:space="preserve">INEB</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Estructura económica</w:t>
            </w:r>
          </w:p>
        </w:tc>
        <w:tc>
          <w:tcPr>
            <w:vAlign w:val="center"/>
          </w:tcPr>
          <w:p w:rsidR="00000000" w:rsidDel="00000000" w:rsidP="00000000" w:rsidRDefault="00000000" w:rsidRPr="00000000">
            <w:pPr>
              <w:contextualSpacing w:val="0"/>
              <w:jc w:val="center"/>
            </w:pPr>
            <w:r w:rsidDel="00000000" w:rsidR="00000000" w:rsidRPr="00000000">
              <w:rPr>
                <w:rtl w:val="0"/>
              </w:rPr>
              <w:t xml:space="preserve">Cantidad de empresas</w:t>
            </w:r>
            <w:r w:rsidDel="00000000" w:rsidR="00000000" w:rsidRPr="00000000">
              <w:rPr>
                <w:rtl w:val="0"/>
              </w:rPr>
            </w:r>
          </w:p>
        </w:tc>
        <w:tc>
          <w:tcPr>
            <w:vAlign w:val="center"/>
          </w:tcPr>
          <w:p w:rsidR="00000000" w:rsidDel="00000000" w:rsidP="00000000" w:rsidRDefault="00000000" w:rsidRPr="00000000">
            <w:pPr>
              <w:contextualSpacing w:val="0"/>
              <w:jc w:val="center"/>
            </w:pPr>
            <w:r w:rsidDel="00000000" w:rsidR="00000000" w:rsidRPr="00000000">
              <w:rPr>
                <w:rtl w:val="0"/>
              </w:rPr>
              <w:t xml:space="preserve">11.913</w:t>
            </w:r>
          </w:p>
        </w:tc>
        <w:tc>
          <w:tcPr>
            <w:vAlign w:val="center"/>
          </w:tcPr>
          <w:p w:rsidR="00000000" w:rsidDel="00000000" w:rsidP="00000000" w:rsidRDefault="00000000" w:rsidRPr="00000000">
            <w:pPr>
              <w:contextualSpacing w:val="0"/>
              <w:jc w:val="center"/>
            </w:pPr>
            <w:r w:rsidDel="00000000" w:rsidR="00000000" w:rsidRPr="00000000">
              <w:rPr>
                <w:rtl w:val="0"/>
              </w:rPr>
              <w:t xml:space="preserve">2016</w:t>
            </w:r>
          </w:p>
        </w:tc>
        <w:tc>
          <w:tcPr>
            <w:vAlign w:val="center"/>
          </w:tcPr>
          <w:p w:rsidR="00000000" w:rsidDel="00000000" w:rsidP="00000000" w:rsidRDefault="00000000" w:rsidRPr="00000000">
            <w:pPr>
              <w:contextualSpacing w:val="0"/>
              <w:jc w:val="center"/>
            </w:pPr>
            <w:r w:rsidDel="00000000" w:rsidR="00000000" w:rsidRPr="00000000">
              <w:rPr>
                <w:rtl w:val="0"/>
              </w:rPr>
              <w:t xml:space="preserve">FUNDEMPRESA</w:t>
            </w:r>
          </w:p>
        </w:tc>
      </w:tr>
    </w:tbl>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i w:val="1"/>
          <w:rtl w:val="0"/>
        </w:rPr>
        <w:t xml:space="preserve">Principales actividades económicas:</w:t>
      </w:r>
    </w:p>
    <w:p w:rsidR="00000000" w:rsidDel="00000000" w:rsidP="00000000" w:rsidRDefault="00000000" w:rsidRPr="00000000">
      <w:pPr>
        <w:spacing w:after="0" w:lineRule="auto"/>
        <w:contextualSpacing w:val="0"/>
        <w:jc w:val="both"/>
      </w:pPr>
      <w:r w:rsidDel="00000000" w:rsidR="00000000" w:rsidRPr="00000000">
        <w:rPr>
          <w:i w:val="0"/>
          <w:color w:val="808080"/>
          <w:rtl w:val="0"/>
        </w:rPr>
        <w:t xml:space="preserve">Este departamento alcanza una participación en el PBI nacional similar a la de su porción de extensión territorial y de cantidad de habitantes; todos apenas inferiores al 5%. Esto implicó en 2011 un PBI per cápita de USD 1.563. Las principales actividades se relacionan con la industria manufacturera que representa el 17% de su PBI, y dentro de ella el sector de la producción de cemento se destaca especialmente. La agricultura (20% del PBI departamental) se encuentra liderada por la producción de cereales (el maíz en grano de la región es el 15% de la producción nacional). Otras actividades importantes son la extracción de minas e hidrocarburos, sobre todo en lo que hace a las exportaciones.</w:t>
      </w:r>
    </w:p>
    <w:p w:rsidR="00000000" w:rsidDel="00000000" w:rsidP="00000000" w:rsidRDefault="00000000" w:rsidRPr="00000000">
      <w:pPr>
        <w:spacing w:after="0" w:lineRule="auto"/>
        <w:contextualSpacing w:val="0"/>
      </w:pPr>
      <w:bookmarkStart w:colFirst="0" w:colLast="0" w:name="_gjdgxs" w:id="0"/>
      <w:bookmarkEnd w:id="0"/>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i w:val="1"/>
          <w:rtl w:val="0"/>
        </w:rPr>
        <w:t xml:space="preserve">Principales exportaciones:</w:t>
      </w:r>
    </w:p>
    <w:p w:rsidR="00000000" w:rsidDel="00000000" w:rsidP="00000000" w:rsidRDefault="00000000" w:rsidRPr="00000000">
      <w:pPr>
        <w:spacing w:after="0" w:lineRule="auto"/>
        <w:contextualSpacing w:val="0"/>
        <w:jc w:val="both"/>
      </w:pPr>
      <w:r w:rsidDel="00000000" w:rsidR="00000000" w:rsidRPr="00000000">
        <w:rPr>
          <w:i w:val="0"/>
          <w:color w:val="808080"/>
          <w:rtl w:val="0"/>
        </w:rPr>
        <w:t xml:space="preserve">De los 19 productos exportables, la exportación de gas natural en estado gaseoso representa casi el 80% del valor de las exportaciones departamentales. Muy por debajo en peso relativo y valor absoluto se posicionan los cascos y otros elementos para la fabricación de sombreros, alimentos varios y minerales como zinc, plata y plomo y sus concentrados.</w:t>
      </w:r>
    </w:p>
    <w:p w:rsidR="00000000" w:rsidDel="00000000" w:rsidP="00000000" w:rsidRDefault="00000000" w:rsidRPr="00000000">
      <w:pPr>
        <w:spacing w:after="0" w:lineRule="auto"/>
        <w:contextualSpacing w:val="0"/>
        <w:jc w:val="both"/>
      </w:pPr>
      <w:r w:rsidDel="00000000" w:rsidR="00000000" w:rsidRPr="00000000">
        <w:rPr>
          <w:i w:val="0"/>
          <w:color w:val="808080"/>
          <w:rtl w:val="0"/>
        </w:rPr>
        <w:t xml:space="preserve">Los destinos para dichas exportaciones son en un 77,8% el Brasil que importa principalmente gas, luego Méjico, Argentina, Suiza y China.</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i w:val="1"/>
          <w:rtl w:val="0"/>
        </w:rPr>
        <w:t xml:space="preserve">Principales cadenas productivas:</w:t>
      </w:r>
    </w:p>
    <w:p w:rsidR="00000000" w:rsidDel="00000000" w:rsidP="00000000" w:rsidRDefault="00000000" w:rsidRPr="00000000">
      <w:pPr>
        <w:spacing w:after="0" w:lineRule="auto"/>
        <w:contextualSpacing w:val="0"/>
        <w:jc w:val="both"/>
      </w:pPr>
      <w:r w:rsidDel="00000000" w:rsidR="00000000" w:rsidRPr="00000000">
        <w:rPr>
          <w:color w:val="808080"/>
          <w:rtl w:val="0"/>
        </w:rPr>
        <w:t xml:space="preserve">Además de la intensa producción agrícola-ganadera (maíz, trigo, cebada, papas, legumbres, amaranto, verduras, hortalizas y cítricos; ganado bovino, porcino, caprino, ovino y equino en cantidad y calidad); el departamento posee algunas cadenas productivas que se destacan como la vitivinícola, la maderera, la turística, la triguera, la minera, la cementera y la industrial. En Chuquisaca se produce cobre, plata, antimonio y tiene grandes depósitos de caliza, aplicados a la industria cementera. La producción industrial gira en torno de los hilados, sombreros, cigarrillos, embutidos de carne vacuna y porcina y golosinas. La riqueza cultural también proporciona un interesante campo para el desarrollo del turismo. Por su parte, los yacimientos de petróleo y sus grandes reservas de gas natural, abren nuevas posibilidades económicas al departamento.</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i w:val="1"/>
          <w:rtl w:val="0"/>
        </w:rPr>
        <w:t xml:space="preserve">Estructura económica:</w:t>
      </w:r>
    </w:p>
    <w:p w:rsidR="00000000" w:rsidDel="00000000" w:rsidP="00000000" w:rsidRDefault="00000000" w:rsidRPr="00000000">
      <w:pPr>
        <w:spacing w:after="0" w:lineRule="auto"/>
        <w:contextualSpacing w:val="0"/>
        <w:jc w:val="both"/>
      </w:pPr>
      <w:r w:rsidDel="00000000" w:rsidR="00000000" w:rsidRPr="00000000">
        <w:rPr>
          <w:color w:val="808080"/>
          <w:rtl w:val="0"/>
        </w:rPr>
        <w:t xml:space="preserve">El promedio de crecimiento del PIB de Chuquisaca entre 2012 y 2013, ha sido del 11% y considerablemente superior al promedio nacional. Dicho crecimiento se explica por el aumento del sector del petróleo crudo y gas natural con 45,4%, seguido de la construcción con 16,5% y los servicios financieros con 11,3%. Sin embargo, esto contrasta con el decrecimiento de las industrias manufactureras y el sector agrícola que del 20% bajó al 16,2% en 2013. En este marco, también ascendió la participación del sistema bancario.</w:t>
      </w:r>
    </w:p>
    <w:p w:rsidR="00000000" w:rsidDel="00000000" w:rsidP="00000000" w:rsidRDefault="00000000" w:rsidRPr="00000000">
      <w:pPr>
        <w:spacing w:after="0" w:lineRule="auto"/>
        <w:contextualSpacing w:val="0"/>
        <w:jc w:val="both"/>
      </w:pPr>
      <w:r w:rsidDel="00000000" w:rsidR="00000000" w:rsidRPr="00000000">
        <w:rPr>
          <w:color w:val="808080"/>
          <w:rtl w:val="0"/>
        </w:rPr>
        <w:t xml:space="preserve">Por sector económico se tuvo que en 2014 la actividad más dinámica fue la extracción de minas y canteras es decir la actividad hidrocarburífera y minera con un 19.0 por ciento, que si bien fue una tasa alta mostró una reducción del 40.0 por ciento en 2013 para el mismo sector, lo que explica, en gran medida, la pérdida de dinamismo general antes mencionado.</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808080"/>
          <w:rtl w:val="0"/>
        </w:rPr>
        <w:t xml:space="preserve">En 2014, el sector primario acumuló el 34% del PBI, mientras el sector secundario el 21% y los servicios, un 45%.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17" w:top="1417" w:left="1701" w:right="17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200" w:before="0" w:line="276" w:lineRule="auto"/>
    </w:pPr>
    <w:rPr>
      <w:rFonts w:ascii="Cambria" w:cs="Cambria" w:eastAsia="Cambria" w:hAnsi="Cambria"/>
      <w:b w:val="0"/>
      <w:i w:val="1"/>
      <w:color w:val="4f81bd"/>
      <w:sz w:val="24"/>
      <w:szCs w:val="24"/>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dbe5f1"/>
    </w:tcPr>
    <w:tblStylePr w:type="band1Horz">
      <w:pPr>
        <w:contextualSpacing w:val="1"/>
      </w:pPr>
      <w:rPr/>
      <w:tcPr>
        <w:shd w:fill="a7c0de"/>
        <w:tcMar>
          <w:left w:w="115.0" w:type="dxa"/>
          <w:right w:w="115.0" w:type="dxa"/>
        </w:tcMar>
      </w:tcPr>
    </w:tblStylePr>
    <w:tblStylePr w:type="band1Vert">
      <w:pPr>
        <w:contextualSpacing w:val="1"/>
      </w:pPr>
      <w:rPr/>
      <w:tcPr>
        <w:shd w:fill="a7c0de"/>
        <w:tcMar>
          <w:left w:w="115.0" w:type="dxa"/>
          <w:right w:w="115.0" w:type="dxa"/>
        </w:tcMar>
      </w:tcPr>
    </w:tblStylePr>
    <w:tblStylePr w:type="band2Horz"/>
    <w:tblStylePr w:type="band2Vert"/>
    <w:tblStylePr w:type="firstCol">
      <w:pPr>
        <w:contextualSpacing w:val="1"/>
      </w:pPr>
      <w:rPr>
        <w:color w:val="ffffff"/>
      </w:rPr>
      <w:tcPr>
        <w:shd w:fill="366091"/>
        <w:tcMar>
          <w:left w:w="115.0" w:type="dxa"/>
          <w:right w:w="115.0" w:type="dxa"/>
        </w:tcMar>
      </w:tcPr>
    </w:tblStylePr>
    <w:tblStylePr w:type="firstRow">
      <w:pPr>
        <w:contextualSpacing w:val="1"/>
      </w:pPr>
      <w:rPr>
        <w:b w:val="1"/>
      </w:rPr>
      <w:tcPr>
        <w:shd w:fill="b8cce4"/>
        <w:tcMar>
          <w:left w:w="115.0" w:type="dxa"/>
          <w:right w:w="115.0" w:type="dxa"/>
        </w:tcMar>
      </w:tcPr>
    </w:tblStylePr>
    <w:tblStylePr w:type="lastCol">
      <w:pPr>
        <w:contextualSpacing w:val="1"/>
      </w:pPr>
      <w:rPr>
        <w:color w:val="ffffff"/>
      </w:rPr>
      <w:tcPr>
        <w:shd w:fill="366091"/>
        <w:tcMar>
          <w:left w:w="115.0" w:type="dxa"/>
          <w:right w:w="115.0" w:type="dxa"/>
        </w:tcMar>
      </w:tcPr>
    </w:tblStylePr>
    <w:tblStylePr w:type="lastRow">
      <w:pPr>
        <w:contextualSpacing w:val="1"/>
      </w:pPr>
      <w:rPr>
        <w:b w:val="1"/>
        <w:color w:val="000000"/>
      </w:rPr>
      <w:tcPr>
        <w:shd w:fill="b8cce4"/>
        <w:tcMar>
          <w:left w:w="115.0" w:type="dxa"/>
          <w:right w:w="115.0" w:type="dxa"/>
        </w:tcMar>
      </w:tcPr>
    </w:tblStylePr>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image" Target="media/image03.png"/></Relationships>
</file>