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Subtitle"/>
        <w:contextualSpacing w:val="0"/>
      </w:pPr>
      <w:r w:rsidDel="00000000" w:rsidR="00000000" w:rsidRPr="00000000">
        <w:rPr>
          <w:rtl w:val="0"/>
        </w:rPr>
        <w:t xml:space="preserve">Cochabamba - Bolivia</w:t>
      </w:r>
      <w:r w:rsidDel="00000000" w:rsidR="00000000" w:rsidRPr="00000000">
        <w:drawing>
          <wp:anchor allowOverlap="1" behindDoc="0" distB="0" distT="0" distL="114300" distR="114300" hidden="0" layoutInCell="0" locked="0" relativeHeight="0" simplePos="0">
            <wp:simplePos x="0" y="0"/>
            <wp:positionH relativeFrom="margin">
              <wp:posOffset>3722977</wp:posOffset>
            </wp:positionH>
            <wp:positionV relativeFrom="paragraph">
              <wp:posOffset>-688779</wp:posOffset>
            </wp:positionV>
            <wp:extent cx="2632668" cy="2602175"/>
            <wp:effectExtent b="0" l="0" r="0" t="0"/>
            <wp:wrapNone/>
            <wp:docPr id="2" name="image05.png"/>
            <a:graphic>
              <a:graphicData uri="http://schemas.openxmlformats.org/drawingml/2006/picture">
                <pic:pic>
                  <pic:nvPicPr>
                    <pic:cNvPr id="0" name="image05.png"/>
                    <pic:cNvPicPr preferRelativeResize="0"/>
                  </pic:nvPicPr>
                  <pic:blipFill>
                    <a:blip r:embed="rId5"/>
                    <a:srcRect b="0" l="0" r="0" t="0"/>
                    <a:stretch>
                      <a:fillRect/>
                    </a:stretch>
                  </pic:blipFill>
                  <pic:spPr>
                    <a:xfrm>
                      <a:off x="0" y="0"/>
                      <a:ext cx="2632668" cy="26021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38100</wp:posOffset>
                </wp:positionH>
                <wp:positionV relativeFrom="paragraph">
                  <wp:posOffset>228600</wp:posOffset>
                </wp:positionV>
                <wp:extent cx="2679700" cy="12700"/>
                <wp:effectExtent b="0" l="0" r="0" t="0"/>
                <wp:wrapNone/>
                <wp:docPr id="1" name="image01.png"/>
                <a:graphic>
                  <a:graphicData uri="http://schemas.openxmlformats.org/drawingml/2006/picture">
                    <pic:pic>
                      <pic:nvPicPr>
                        <pic:cNvPr id="0" name="image01.png"/>
                        <pic:cNvPicPr preferRelativeResize="0"/>
                      </pic:nvPicPr>
                      <pic:blipFill>
                        <a:blip r:embed="rId6"/>
                        <a:srcRect/>
                        <a:stretch>
                          <a:fillRect/>
                        </a:stretch>
                      </pic:blipFill>
                      <pic:spPr>
                        <a:xfrm>
                          <a:off x="0" y="0"/>
                          <a:ext cx="2679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38100</wp:posOffset>
                </wp:positionH>
                <wp:positionV relativeFrom="paragraph">
                  <wp:posOffset>228600</wp:posOffset>
                </wp:positionV>
                <wp:extent cx="2679700" cy="12700"/>
                <wp:effectExtent b="0" l="0" r="0" t="0"/>
                <wp:wrapNone/>
                <wp:docPr id="1" name="image03.png"/>
                <a:graphic>
                  <a:graphicData uri="http://schemas.openxmlformats.org/drawingml/2006/picture">
                    <pic:pic>
                      <pic:nvPicPr>
                        <pic:cNvPr id="0" name="image03.png"/>
                        <pic:cNvPicPr preferRelativeResize="0"/>
                      </pic:nvPicPr>
                      <pic:blipFill>
                        <a:blip r:embed="rId7"/>
                        <a:srcRect/>
                        <a:stretch>
                          <a:fillRect/>
                        </a:stretch>
                      </pic:blipFill>
                      <pic:spPr>
                        <a:xfrm>
                          <a:off x="0" y="0"/>
                          <a:ext cx="2679700" cy="12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i w:val="1"/>
          <w:color w:val="808080"/>
          <w:rtl w:val="0"/>
        </w:rPr>
        <w:t xml:space="preserve">Ciudad Capital: </w:t>
      </w:r>
      <w:r w:rsidDel="00000000" w:rsidR="00000000" w:rsidRPr="00000000">
        <w:rPr>
          <w:i w:val="0"/>
          <w:color w:val="808080"/>
          <w:rtl w:val="0"/>
        </w:rPr>
        <w:t xml:space="preserve">Cochabamba</w:t>
      </w:r>
      <w:r w:rsidDel="00000000" w:rsidR="00000000" w:rsidRPr="00000000">
        <w:rPr>
          <w:rtl w:val="0"/>
        </w:rPr>
      </w:r>
    </w:p>
    <w:p w:rsidR="00000000" w:rsidDel="00000000" w:rsidP="00000000" w:rsidRDefault="00000000" w:rsidRPr="00000000">
      <w:pPr>
        <w:contextualSpacing w:val="0"/>
      </w:pPr>
      <w:r w:rsidDel="00000000" w:rsidR="00000000" w:rsidRPr="00000000">
        <w:rPr>
          <w:i w:val="1"/>
          <w:color w:val="808080"/>
          <w:rtl w:val="0"/>
        </w:rPr>
        <w:t xml:space="preserve">Superficie:</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55.631</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Km</w:t>
      </w:r>
      <w:r w:rsidDel="00000000" w:rsidR="00000000" w:rsidRPr="00000000">
        <w:rPr>
          <w:i w:val="0"/>
          <w:color w:val="808080"/>
          <w:vertAlign w:val="superscript"/>
          <w:rtl w:val="0"/>
        </w:rPr>
        <w:t xml:space="preserve">2</w:t>
      </w:r>
      <w:r w:rsidDel="00000000" w:rsidR="00000000" w:rsidRPr="00000000">
        <w:rPr>
          <w:rtl w:val="0"/>
        </w:rPr>
      </w:r>
    </w:p>
    <w:p w:rsidR="00000000" w:rsidDel="00000000" w:rsidP="00000000" w:rsidRDefault="00000000" w:rsidRPr="00000000">
      <w:pPr>
        <w:contextualSpacing w:val="0"/>
      </w:pPr>
      <w:r w:rsidDel="00000000" w:rsidR="00000000" w:rsidRPr="00000000">
        <w:rPr>
          <w:i w:val="1"/>
          <w:color w:val="808080"/>
          <w:rtl w:val="0"/>
        </w:rPr>
        <w:t xml:space="preserve">Población:</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1.762.761</w:t>
      </w:r>
      <w:r w:rsidDel="00000000" w:rsidR="00000000" w:rsidRPr="00000000">
        <w:rPr>
          <w:rFonts w:ascii="Calibri" w:cs="Calibri" w:eastAsia="Calibri" w:hAnsi="Calibri"/>
          <w:color w:val="000000"/>
          <w:rtl w:val="0"/>
        </w:rPr>
        <w:t xml:space="preserve"> </w:t>
      </w:r>
      <w:r w:rsidDel="00000000" w:rsidR="00000000" w:rsidRPr="00000000">
        <w:rPr>
          <w:i w:val="0"/>
          <w:color w:val="808080"/>
          <w:rtl w:val="0"/>
        </w:rPr>
        <w:t xml:space="preserve">habitantes (2012)</w:t>
      </w:r>
    </w:p>
    <w:p w:rsidR="00000000" w:rsidDel="00000000" w:rsidP="00000000" w:rsidRDefault="00000000" w:rsidRPr="00000000">
      <w:pPr>
        <w:contextualSpacing w:val="0"/>
      </w:pPr>
      <w:r w:rsidDel="00000000" w:rsidR="00000000" w:rsidRPr="00000000">
        <w:rPr>
          <w:i w:val="1"/>
          <w:color w:val="808080"/>
          <w:rtl w:val="0"/>
        </w:rPr>
        <w:t xml:space="preserve">Gobernador </w:t>
      </w:r>
      <w:r w:rsidDel="00000000" w:rsidR="00000000" w:rsidRPr="00000000">
        <w:rPr>
          <w:i w:val="0"/>
          <w:color w:val="808080"/>
          <w:rtl w:val="0"/>
        </w:rPr>
        <w:t xml:space="preserve">Iván Canelas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bl>
      <w:tblPr>
        <w:tblStyle w:val="Table1"/>
        <w:bidiVisual w:val="0"/>
        <w:tblW w:w="9045.0" w:type="dxa"/>
        <w:jc w:val="center"/>
        <w:tblBorders>
          <w:top w:color="000000" w:space="0" w:sz="4" w:val="single"/>
          <w:left w:color="000000" w:space="0" w:sz="4" w:val="single"/>
          <w:bottom w:color="000000" w:space="0" w:sz="4" w:val="single"/>
          <w:right w:color="000000" w:space="0" w:sz="4" w:val="single"/>
          <w:insideH w:color="ffffff" w:space="0" w:sz="4" w:val="single"/>
          <w:insideV w:color="000000" w:space="0" w:sz="4" w:val="single"/>
        </w:tblBorders>
        <w:tblLayout w:type="fixed"/>
        <w:tblLook w:val="04A0"/>
      </w:tblPr>
      <w:tblGrid>
        <w:gridCol w:w="2280"/>
        <w:gridCol w:w="2865"/>
        <w:gridCol w:w="1395"/>
        <w:gridCol w:w="855"/>
        <w:gridCol w:w="1650"/>
        <w:tblGridChange w:id="0">
          <w:tblGrid>
            <w:gridCol w:w="2280"/>
            <w:gridCol w:w="2865"/>
            <w:gridCol w:w="1395"/>
            <w:gridCol w:w="855"/>
            <w:gridCol w:w="1650"/>
          </w:tblGrid>
        </w:tblGridChange>
      </w:tblGrid>
      <w:tr>
        <w:tc>
          <w:tcPr/>
          <w:p w:rsidR="00000000" w:rsidDel="00000000" w:rsidP="00000000" w:rsidRDefault="00000000" w:rsidRPr="00000000">
            <w:pPr>
              <w:contextualSpacing w:val="0"/>
              <w:jc w:val="center"/>
            </w:pPr>
            <w:r w:rsidDel="00000000" w:rsidR="00000000" w:rsidRPr="00000000">
              <w:rPr>
                <w:b w:val="0"/>
                <w:color w:val="000000"/>
                <w:rtl w:val="0"/>
              </w:rPr>
              <w:t xml:space="preserve">Indicadores de referencia</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Indicador</w:t>
            </w:r>
          </w:p>
        </w:tc>
        <w:tc>
          <w:tcPr/>
          <w:p w:rsidR="00000000" w:rsidDel="00000000" w:rsidP="00000000" w:rsidRDefault="00000000" w:rsidRPr="00000000">
            <w:pPr>
              <w:contextualSpacing w:val="0"/>
            </w:pPr>
            <w:r w:rsidDel="00000000" w:rsidR="00000000" w:rsidRPr="00000000">
              <w:rPr>
                <w:rtl w:val="0"/>
              </w:rPr>
              <w:t xml:space="preserve">Valor</w:t>
            </w:r>
          </w:p>
        </w:tc>
        <w:tc>
          <w:tcPr/>
          <w:p w:rsidR="00000000" w:rsidDel="00000000" w:rsidP="00000000" w:rsidRDefault="00000000" w:rsidRPr="00000000">
            <w:pPr>
              <w:contextualSpacing w:val="0"/>
            </w:pPr>
            <w:r w:rsidDel="00000000" w:rsidR="00000000" w:rsidRPr="00000000">
              <w:rPr>
                <w:rtl w:val="0"/>
              </w:rPr>
              <w:t xml:space="preserve">Año</w:t>
            </w:r>
          </w:p>
        </w:tc>
        <w:tc>
          <w:tcPr/>
          <w:p w:rsidR="00000000" w:rsidDel="00000000" w:rsidP="00000000" w:rsidRDefault="00000000" w:rsidRPr="00000000">
            <w:pPr>
              <w:contextualSpacing w:val="0"/>
            </w:pPr>
            <w:r w:rsidDel="00000000" w:rsidR="00000000" w:rsidRPr="00000000">
              <w:rPr>
                <w:rtl w:val="0"/>
              </w:rPr>
              <w:t xml:space="preserve">Fuente</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Educación</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Tasa de Alfabetismo</w:t>
            </w:r>
          </w:p>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 (Población 15 años y más)</w:t>
            </w: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tl w:val="0"/>
              </w:rPr>
              <w:t xml:space="preserve">93,06%</w:t>
            </w:r>
          </w:p>
        </w:tc>
        <w:tc>
          <w:tcPr/>
          <w:p w:rsidR="00000000" w:rsidDel="00000000" w:rsidP="00000000" w:rsidRDefault="00000000" w:rsidRPr="00000000">
            <w:pPr>
              <w:contextualSpacing w:val="0"/>
              <w:jc w:val="center"/>
            </w:pPr>
            <w:r w:rsidDel="00000000" w:rsidR="00000000" w:rsidRPr="00000000">
              <w:rPr>
                <w:rtl w:val="0"/>
              </w:rPr>
              <w:t xml:space="preserve">2013</w:t>
            </w:r>
          </w:p>
        </w:tc>
        <w:tc>
          <w:tcPr/>
          <w:p w:rsidR="00000000" w:rsidDel="00000000" w:rsidP="00000000" w:rsidRDefault="00000000" w:rsidRPr="00000000">
            <w:pPr>
              <w:contextualSpacing w:val="0"/>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Salud</w:t>
            </w:r>
          </w:p>
        </w:tc>
        <w:tc>
          <w:tcPr/>
          <w:p w:rsidR="00000000" w:rsidDel="00000000" w:rsidP="00000000" w:rsidRDefault="00000000" w:rsidRPr="00000000">
            <w:pPr>
              <w:contextualSpacing w:val="0"/>
              <w:jc w:val="center"/>
            </w:pPr>
            <w:r w:rsidDel="00000000" w:rsidR="00000000" w:rsidRPr="00000000">
              <w:rPr>
                <w:rtl w:val="0"/>
              </w:rPr>
              <w:t xml:space="preserve">Mortalidad Infantil</w:t>
            </w:r>
          </w:p>
          <w:p w:rsidR="00000000" w:rsidDel="00000000" w:rsidP="00000000" w:rsidRDefault="00000000" w:rsidRPr="00000000">
            <w:pPr>
              <w:contextualSpacing w:val="0"/>
              <w:jc w:val="center"/>
            </w:pPr>
            <w:r w:rsidDel="00000000" w:rsidR="00000000" w:rsidRPr="00000000">
              <w:rPr>
                <w:rtl w:val="0"/>
              </w:rPr>
              <w:t xml:space="preserve">(cada 1.000 nacidos)</w:t>
            </w:r>
          </w:p>
        </w:tc>
        <w:tc>
          <w:tcPr>
            <w:vAlign w:val="center"/>
          </w:tcPr>
          <w:p w:rsidR="00000000" w:rsidDel="00000000" w:rsidP="00000000" w:rsidRDefault="00000000" w:rsidRPr="00000000">
            <w:pPr>
              <w:contextualSpacing w:val="0"/>
              <w:jc w:val="center"/>
            </w:pPr>
            <w:r w:rsidDel="00000000" w:rsidR="00000000" w:rsidRPr="00000000">
              <w:rPr>
                <w:rtl w:val="0"/>
              </w:rPr>
              <w:t xml:space="preserve">241</w:t>
            </w:r>
          </w:p>
        </w:tc>
        <w:tc>
          <w:tcPr/>
          <w:p w:rsidR="00000000" w:rsidDel="00000000" w:rsidP="00000000" w:rsidRDefault="00000000" w:rsidRPr="00000000">
            <w:pPr>
              <w:contextualSpacing w:val="0"/>
              <w:jc w:val="center"/>
            </w:pPr>
            <w:r w:rsidDel="00000000" w:rsidR="00000000" w:rsidRPr="00000000">
              <w:rPr>
                <w:rtl w:val="0"/>
              </w:rPr>
              <w:t xml:space="preserve">2008</w:t>
            </w:r>
          </w:p>
        </w:tc>
        <w:tc>
          <w:tcPr/>
          <w:p w:rsidR="00000000" w:rsidDel="00000000" w:rsidP="00000000" w:rsidRDefault="00000000" w:rsidRPr="00000000">
            <w:pPr>
              <w:contextualSpacing w:val="0"/>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Empleo</w:t>
            </w:r>
          </w:p>
        </w:tc>
        <w:tc>
          <w:tcPr/>
          <w:p w:rsidR="00000000" w:rsidDel="00000000" w:rsidP="00000000" w:rsidRDefault="00000000" w:rsidRPr="00000000">
            <w:pPr>
              <w:contextualSpacing w:val="0"/>
              <w:jc w:val="center"/>
            </w:pPr>
            <w:r w:rsidDel="00000000" w:rsidR="00000000" w:rsidRPr="00000000">
              <w:rPr>
                <w:rtl w:val="0"/>
              </w:rPr>
              <w:t xml:space="preserve">PEA</w:t>
            </w:r>
          </w:p>
        </w:tc>
        <w:tc>
          <w:tcPr>
            <w:vAlign w:val="center"/>
          </w:tcPr>
          <w:p w:rsidR="00000000" w:rsidDel="00000000" w:rsidP="00000000" w:rsidRDefault="00000000" w:rsidRPr="00000000">
            <w:pPr>
              <w:contextualSpacing w:val="0"/>
              <w:jc w:val="center"/>
            </w:pPr>
            <w:r w:rsidDel="00000000" w:rsidR="00000000" w:rsidRPr="00000000">
              <w:rPr>
                <w:rtl w:val="0"/>
              </w:rPr>
              <w:t xml:space="preserve">814.806</w:t>
            </w:r>
          </w:p>
        </w:tc>
        <w:tc>
          <w:tcPr/>
          <w:p w:rsidR="00000000" w:rsidDel="00000000" w:rsidP="00000000" w:rsidRDefault="00000000" w:rsidRPr="00000000">
            <w:pPr>
              <w:contextualSpacing w:val="0"/>
              <w:jc w:val="center"/>
            </w:pPr>
            <w:r w:rsidDel="00000000" w:rsidR="00000000" w:rsidRPr="00000000">
              <w:rPr>
                <w:rtl w:val="0"/>
              </w:rPr>
              <w:t xml:space="preserve">2012</w:t>
            </w:r>
          </w:p>
        </w:tc>
        <w:tc>
          <w:tcPr/>
          <w:p w:rsidR="00000000" w:rsidDel="00000000" w:rsidP="00000000" w:rsidRDefault="00000000" w:rsidRPr="00000000">
            <w:pPr>
              <w:contextualSpacing w:val="0"/>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PBI</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Participación </w:t>
            </w:r>
          </w:p>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 en el PBI nacional</w:t>
            </w: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tl w:val="0"/>
              </w:rPr>
              <w:t xml:space="preserve">14,11%</w:t>
            </w:r>
          </w:p>
        </w:tc>
        <w:tc>
          <w:tcPr/>
          <w:p w:rsidR="00000000" w:rsidDel="00000000" w:rsidP="00000000" w:rsidRDefault="00000000" w:rsidRPr="00000000">
            <w:pPr>
              <w:contextualSpacing w:val="0"/>
              <w:jc w:val="center"/>
            </w:pPr>
            <w:r w:rsidDel="00000000" w:rsidR="00000000" w:rsidRPr="00000000">
              <w:rPr>
                <w:rtl w:val="0"/>
              </w:rPr>
              <w:t xml:space="preserve">2013</w:t>
            </w:r>
          </w:p>
        </w:tc>
        <w:tc>
          <w:tcPr/>
          <w:p w:rsidR="00000000" w:rsidDel="00000000" w:rsidP="00000000" w:rsidRDefault="00000000" w:rsidRPr="00000000">
            <w:pPr>
              <w:contextualSpacing w:val="0"/>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Exportaciones</w:t>
            </w:r>
          </w:p>
        </w:tc>
        <w:tc>
          <w:tcPr/>
          <w:p w:rsidR="00000000" w:rsidDel="00000000" w:rsidP="00000000" w:rsidRDefault="00000000" w:rsidRPr="00000000">
            <w:pPr>
              <w:contextualSpacing w:val="0"/>
              <w:jc w:val="center"/>
            </w:pPr>
            <w:r w:rsidDel="00000000" w:rsidR="00000000" w:rsidRPr="00000000">
              <w:rPr>
                <w:rtl w:val="0"/>
              </w:rPr>
              <w:t xml:space="preserve">Valor de exportaciones </w:t>
            </w:r>
          </w:p>
          <w:p w:rsidR="00000000" w:rsidDel="00000000" w:rsidP="00000000" w:rsidRDefault="00000000" w:rsidRPr="00000000">
            <w:pPr>
              <w:contextualSpacing w:val="0"/>
              <w:jc w:val="center"/>
            </w:pPr>
            <w:r w:rsidDel="00000000" w:rsidR="00000000" w:rsidRPr="00000000">
              <w:rPr>
                <w:rtl w:val="0"/>
              </w:rPr>
              <w:t xml:space="preserve">anuales (en US$)</w:t>
            </w:r>
          </w:p>
        </w:tc>
        <w:tc>
          <w:tcPr>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color w:val="000000"/>
                <w:rtl w:val="0"/>
              </w:rPr>
              <w:t xml:space="preserve">304.124.848</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t xml:space="preserve">2015</w:t>
            </w:r>
          </w:p>
        </w:tc>
        <w:tc>
          <w:tcPr/>
          <w:p w:rsidR="00000000" w:rsidDel="00000000" w:rsidP="00000000" w:rsidRDefault="00000000" w:rsidRPr="00000000">
            <w:pPr>
              <w:contextualSpacing w:val="0"/>
            </w:pPr>
            <w:r w:rsidDel="00000000" w:rsidR="00000000" w:rsidRPr="00000000">
              <w:rPr>
                <w:rFonts w:ascii="Calibri" w:cs="Calibri" w:eastAsia="Calibri" w:hAnsi="Calibri"/>
                <w:color w:val="000000"/>
                <w:rtl w:val="0"/>
              </w:rPr>
              <w:t xml:space="preserve">IBCE</w:t>
            </w:r>
            <w:r w:rsidDel="00000000" w:rsidR="00000000" w:rsidRPr="00000000">
              <w:rPr>
                <w:rtl w:val="0"/>
              </w:rPr>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IDH</w:t>
            </w:r>
          </w:p>
        </w:tc>
        <w:tc>
          <w:tcPr/>
          <w:p w:rsidR="00000000" w:rsidDel="00000000" w:rsidP="00000000" w:rsidRDefault="00000000" w:rsidRPr="00000000">
            <w:pPr>
              <w:contextualSpacing w:val="0"/>
            </w:pPr>
            <w:r w:rsidDel="00000000" w:rsidR="00000000" w:rsidRPr="00000000">
              <w:rPr>
                <w:rtl w:val="0"/>
              </w:rPr>
              <w:t xml:space="preserve">Índice de Desarrollo Humano</w:t>
            </w:r>
          </w:p>
        </w:tc>
        <w:tc>
          <w:tcPr>
            <w:vAlign w:val="center"/>
          </w:tcPr>
          <w:p w:rsidR="00000000" w:rsidDel="00000000" w:rsidP="00000000" w:rsidRDefault="00000000" w:rsidRPr="00000000">
            <w:pPr>
              <w:contextualSpacing w:val="0"/>
              <w:jc w:val="center"/>
            </w:pPr>
            <w:r w:rsidDel="00000000" w:rsidR="00000000" w:rsidRPr="00000000">
              <w:rPr>
                <w:rtl w:val="0"/>
              </w:rPr>
              <w:t xml:space="preserve">0,694</w:t>
            </w:r>
          </w:p>
        </w:tc>
        <w:tc>
          <w:tcPr/>
          <w:p w:rsidR="00000000" w:rsidDel="00000000" w:rsidP="00000000" w:rsidRDefault="00000000" w:rsidRPr="00000000">
            <w:pPr>
              <w:contextualSpacing w:val="0"/>
              <w:jc w:val="center"/>
            </w:pPr>
            <w:r w:rsidDel="00000000" w:rsidR="00000000" w:rsidRPr="00000000">
              <w:rPr>
                <w:rtl w:val="0"/>
              </w:rPr>
              <w:t xml:space="preserve">2015</w:t>
            </w:r>
          </w:p>
        </w:tc>
        <w:tc>
          <w:tcPr/>
          <w:p w:rsidR="00000000" w:rsidDel="00000000" w:rsidP="00000000" w:rsidRDefault="00000000" w:rsidRPr="00000000">
            <w:pPr>
              <w:contextualSpacing w:val="0"/>
            </w:pPr>
            <w:r w:rsidDel="00000000" w:rsidR="00000000" w:rsidRPr="00000000">
              <w:rPr>
                <w:rtl w:val="0"/>
              </w:rPr>
              <w:t xml:space="preserve">PNUD</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Pobreza</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t xml:space="preserve">Porcentaje de Pobreza</w:t>
            </w:r>
          </w:p>
        </w:tc>
        <w:tc>
          <w:tcPr>
            <w:vAlign w:val="center"/>
          </w:tcPr>
          <w:p w:rsidR="00000000" w:rsidDel="00000000" w:rsidP="00000000" w:rsidRDefault="00000000" w:rsidRPr="00000000">
            <w:pPr>
              <w:contextualSpacing w:val="0"/>
              <w:jc w:val="center"/>
            </w:pPr>
            <w:r w:rsidDel="00000000" w:rsidR="00000000" w:rsidRPr="00000000">
              <w:rPr>
                <w:rtl w:val="0"/>
              </w:rPr>
              <w:t xml:space="preserve">45,5%</w:t>
            </w:r>
          </w:p>
        </w:tc>
        <w:tc>
          <w:tcPr/>
          <w:p w:rsidR="00000000" w:rsidDel="00000000" w:rsidP="00000000" w:rsidRDefault="00000000" w:rsidRPr="00000000">
            <w:pPr>
              <w:contextualSpacing w:val="0"/>
              <w:jc w:val="center"/>
            </w:pPr>
            <w:r w:rsidDel="00000000" w:rsidR="00000000" w:rsidRPr="00000000">
              <w:rPr>
                <w:rtl w:val="0"/>
              </w:rPr>
              <w:t xml:space="preserve">2012</w:t>
            </w:r>
          </w:p>
        </w:tc>
        <w:tc>
          <w:tcPr/>
          <w:p w:rsidR="00000000" w:rsidDel="00000000" w:rsidP="00000000" w:rsidRDefault="00000000" w:rsidRPr="00000000">
            <w:pPr>
              <w:contextualSpacing w:val="0"/>
            </w:pPr>
            <w:r w:rsidDel="00000000" w:rsidR="00000000" w:rsidRPr="00000000">
              <w:rPr>
                <w:rtl w:val="0"/>
              </w:rPr>
              <w:t xml:space="preserve">INEB</w:t>
            </w:r>
          </w:p>
        </w:tc>
      </w:tr>
      <w:tr>
        <w:tc>
          <w:tcPr>
            <w:shd w:fill="95b3d7"/>
          </w:tcPr>
          <w:p w:rsidR="00000000" w:rsidDel="00000000" w:rsidP="00000000" w:rsidRDefault="00000000" w:rsidRPr="00000000">
            <w:pPr>
              <w:contextualSpacing w:val="0"/>
            </w:pPr>
            <w:r w:rsidDel="00000000" w:rsidR="00000000" w:rsidRPr="00000000">
              <w:rPr>
                <w:b w:val="1"/>
                <w:color w:val="000000"/>
                <w:rtl w:val="0"/>
              </w:rPr>
              <w:t xml:space="preserve">Estructura económica</w:t>
            </w:r>
          </w:p>
        </w:tc>
        <w:tc>
          <w:tcPr/>
          <w:p w:rsidR="00000000" w:rsidDel="00000000" w:rsidP="00000000" w:rsidRDefault="00000000" w:rsidRPr="00000000">
            <w:pPr>
              <w:contextualSpacing w:val="0"/>
              <w:jc w:val="center"/>
            </w:pPr>
            <w:r w:rsidDel="00000000" w:rsidR="00000000" w:rsidRPr="00000000">
              <w:rPr>
                <w:rtl w:val="0"/>
              </w:rPr>
              <w:t xml:space="preserve">Cantidad de empresas</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t xml:space="preserve">49.001</w:t>
            </w:r>
          </w:p>
        </w:tc>
        <w:tc>
          <w:tcPr/>
          <w:p w:rsidR="00000000" w:rsidDel="00000000" w:rsidP="00000000" w:rsidRDefault="00000000" w:rsidRPr="00000000">
            <w:pPr>
              <w:contextualSpacing w:val="0"/>
              <w:jc w:val="center"/>
            </w:pPr>
            <w:r w:rsidDel="00000000" w:rsidR="00000000" w:rsidRPr="00000000">
              <w:rPr>
                <w:rtl w:val="0"/>
              </w:rPr>
              <w:t xml:space="preserve">2016</w:t>
            </w:r>
          </w:p>
        </w:tc>
        <w:tc>
          <w:tcPr/>
          <w:p w:rsidR="00000000" w:rsidDel="00000000" w:rsidP="00000000" w:rsidRDefault="00000000" w:rsidRPr="00000000">
            <w:pPr>
              <w:contextualSpacing w:val="0"/>
            </w:pPr>
            <w:r w:rsidDel="00000000" w:rsidR="00000000" w:rsidRPr="00000000">
              <w:rPr>
                <w:rtl w:val="0"/>
              </w:rPr>
              <w:t xml:space="preserve">FUNDEMPRESA</w:t>
            </w:r>
          </w:p>
        </w:tc>
      </w:tr>
    </w:tbl>
    <w:p w:rsidR="00000000" w:rsidDel="00000000" w:rsidP="00000000" w:rsidRDefault="00000000" w:rsidRPr="00000000">
      <w:pPr>
        <w:spacing w:after="0" w:lineRule="auto"/>
        <w:contextualSpacing w:val="0"/>
      </w:pPr>
      <w:bookmarkStart w:colFirst="0" w:colLast="0" w:name="_gjdgxs" w:id="0"/>
      <w:bookmarkEnd w:id="0"/>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Principales actividades económicas:</w:t>
      </w:r>
    </w:p>
    <w:p w:rsidR="00000000" w:rsidDel="00000000" w:rsidP="00000000" w:rsidRDefault="00000000" w:rsidRPr="00000000">
      <w:pPr>
        <w:contextualSpacing w:val="0"/>
        <w:jc w:val="both"/>
      </w:pPr>
      <w:r w:rsidDel="00000000" w:rsidR="00000000" w:rsidRPr="00000000">
        <w:rPr>
          <w:color w:val="808080"/>
          <w:rtl w:val="0"/>
        </w:rPr>
        <w:t xml:space="preserve">En Cochabamba se encuentran desarrolladas la producción energética en base al gas natural y la electricidad. En el rubro industrial en el departamento se localiza la más importante refinería del país, además de importantes empresas alimenticias (enlatados, lácteos, carnes, etc.), de vestimenta, calzados y cueros, las que abastecen gran parte del mercado nacional. Se producen papas, quinua, oca, cebada, maní, hoja de coca, variedades de maíz, trigo, frutas legumbres y hortalizas así como ganado lechero, bovinos, ovinos, caprinos, equinos y camélidos. Cochabamba posee yacimientos de estaño, plomo, antimonio, wólfram, oro, lignitos, asbesto, lapislázuli, baritina, aluminio, calizas, etc. La pesca se ha desarrollado en torno de trucha arcoíris, sábalo, bagre, dorado, surubí, blanquillo y pacú. Cuenta con una situación privilegiada en relación a los recursos naturales y a los mercados urbanos, que implican grandes potenciales para el desarrollo industrial. </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Principales exportaciones:</w:t>
      </w:r>
    </w:p>
    <w:p w:rsidR="00000000" w:rsidDel="00000000" w:rsidP="00000000" w:rsidRDefault="00000000" w:rsidRPr="00000000">
      <w:pPr>
        <w:spacing w:after="0" w:lineRule="auto"/>
        <w:contextualSpacing w:val="0"/>
        <w:jc w:val="both"/>
      </w:pPr>
      <w:r w:rsidDel="00000000" w:rsidR="00000000" w:rsidRPr="00000000">
        <w:rPr>
          <w:i w:val="0"/>
          <w:color w:val="808080"/>
          <w:rtl w:val="0"/>
        </w:rPr>
        <w:t xml:space="preserve">Dicha diversidad se refleja también en las exportaciones de Cochabamba que alcanzan a 261 productos diversos; además son en un 33,75% de gas natural pero también implican la venta de alimentos como bananas (11,79%), leches (9%), palmitos, aceite de girasol; así como minerales tipo plomo, plata, zinc y sus concentrados y Bario (10,71%) y un 27% de otros productos.</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color w:val="808080"/>
          <w:rtl w:val="0"/>
        </w:rPr>
        <w:t xml:space="preserve">Ellos se dirigen hacia Argentina por un 37,36% del valor total de las exportaciones, a Brasil en un 13, 87%; Perú en 7,47% y Venezuela en 7,33%. También son mercados de destino E.E.U.U., Chile, China, Colombia, Italia y Ecuador.</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Principales cadenas productivas:</w:t>
      </w:r>
    </w:p>
    <w:p w:rsidR="00000000" w:rsidDel="00000000" w:rsidP="00000000" w:rsidRDefault="00000000" w:rsidRPr="00000000">
      <w:pPr>
        <w:spacing w:after="0" w:lineRule="auto"/>
        <w:contextualSpacing w:val="0"/>
        <w:jc w:val="both"/>
      </w:pPr>
      <w:r w:rsidDel="00000000" w:rsidR="00000000" w:rsidRPr="00000000">
        <w:rPr>
          <w:color w:val="808080"/>
          <w:rtl w:val="0"/>
        </w:rPr>
        <w:t xml:space="preserve">Dentro de las cadenas productivas de Cochabamba, debe considerarse la forestal y la lechera especialmente. Se encuentran en etapa de desarrollo también la avícola, la del ajo, la de la quinoa, la de la castaña, la de frutas silvestres y frutas de valle, la de la haba, palmitos, soya, uva, de habas, castañas, camélidos, maderas y manufacturas, cueros y manufacturas, algodonera y textil.</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i w:val="1"/>
          <w:rtl w:val="0"/>
        </w:rPr>
        <w:t xml:space="preserve">Estructura económica:</w:t>
      </w:r>
    </w:p>
    <w:p w:rsidR="00000000" w:rsidDel="00000000" w:rsidP="00000000" w:rsidRDefault="00000000" w:rsidRPr="00000000">
      <w:pPr>
        <w:spacing w:after="0" w:line="240" w:lineRule="auto"/>
        <w:contextualSpacing w:val="0"/>
        <w:jc w:val="both"/>
      </w:pPr>
      <w:r w:rsidDel="00000000" w:rsidR="00000000" w:rsidRPr="00000000">
        <w:rPr>
          <w:color w:val="808080"/>
          <w:rtl w:val="0"/>
        </w:rPr>
        <w:t xml:space="preserve">Este departamento aglutina el 24% de la población nacional pero sólo el 5% de su territorio;  implica un considerable 14% en el PBI nacional. Su PBI per cápita fue de USD 1.783 en 2011; principalmente gracias actividades económicas sobre las que se fundamenta la base productiva como las Industrias Manufactureras (17,48%), el Transporte y Almacenamiento (15,25%) y la Administración Pública (11,88%). Esta matriz diferenciada también se compone de Establecimientos Financieros (9,9%), Agricultura, Silvicultura, Caza y Pesca (9,06%), Comercio (7,31%), Extracción de Minas y Canteras (5,99%), Servicios Comunales y Sociales (5,79%), Restaurantes y Hoteles, Electricidad, Gas y Agua y la Construcción.</w:t>
      </w:r>
    </w:p>
    <w:p w:rsidR="00000000" w:rsidDel="00000000" w:rsidP="00000000" w:rsidRDefault="00000000" w:rsidRPr="00000000">
      <w:pPr>
        <w:contextualSpacing w:val="0"/>
        <w:jc w:val="both"/>
      </w:pPr>
      <w:r w:rsidDel="00000000" w:rsidR="00000000" w:rsidRPr="00000000">
        <w:rPr>
          <w:color w:val="808080"/>
          <w:rtl w:val="0"/>
        </w:rPr>
        <w:t xml:space="preserve">En 2014, el sector primario acumuló el 14% del PBI, mientras el sector secundario un considerable 29% y los servicios, un 57%.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17" w:top="1417"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200" w:before="0" w:line="276" w:lineRule="auto"/>
    </w:pPr>
    <w:rPr>
      <w:rFonts w:ascii="Cambria" w:cs="Cambria" w:eastAsia="Cambria" w:hAnsi="Cambria"/>
      <w:b w:val="0"/>
      <w:i w:val="1"/>
      <w:color w:val="4f81bd"/>
      <w:sz w:val="24"/>
      <w:szCs w:val="24"/>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dbe5f1"/>
    </w:tcPr>
    <w:tblStylePr w:type="band1Horz">
      <w:pPr>
        <w:contextualSpacing w:val="1"/>
      </w:pPr>
      <w:rPr/>
      <w:tcPr>
        <w:shd w:fill="a7c0de"/>
        <w:tcMar>
          <w:left w:w="115.0" w:type="dxa"/>
          <w:right w:w="115.0" w:type="dxa"/>
        </w:tcMar>
      </w:tcPr>
    </w:tblStylePr>
    <w:tblStylePr w:type="band1Vert">
      <w:pPr>
        <w:contextualSpacing w:val="1"/>
      </w:pPr>
      <w:rPr/>
      <w:tcPr>
        <w:shd w:fill="a7c0de"/>
        <w:tcMar>
          <w:left w:w="115.0" w:type="dxa"/>
          <w:right w:w="115.0" w:type="dxa"/>
        </w:tcMar>
      </w:tcPr>
    </w:tblStylePr>
    <w:tblStylePr w:type="band2Horz"/>
    <w:tblStylePr w:type="band2Vert"/>
    <w:tblStylePr w:type="firstCol">
      <w:pPr>
        <w:contextualSpacing w:val="1"/>
      </w:pPr>
      <w:rPr>
        <w:color w:val="ffffff"/>
      </w:rPr>
      <w:tcPr>
        <w:shd w:fill="366091"/>
        <w:tcMar>
          <w:left w:w="115.0" w:type="dxa"/>
          <w:right w:w="115.0" w:type="dxa"/>
        </w:tcMar>
      </w:tcPr>
    </w:tblStylePr>
    <w:tblStylePr w:type="firstRow">
      <w:pPr>
        <w:contextualSpacing w:val="1"/>
      </w:pPr>
      <w:rPr>
        <w:b w:val="1"/>
      </w:rPr>
      <w:tcPr>
        <w:shd w:fill="b8cce4"/>
        <w:tcMar>
          <w:left w:w="115.0" w:type="dxa"/>
          <w:right w:w="115.0" w:type="dxa"/>
        </w:tcMar>
      </w:tcPr>
    </w:tblStylePr>
    <w:tblStylePr w:type="lastCol">
      <w:pPr>
        <w:contextualSpacing w:val="1"/>
      </w:pPr>
      <w:rPr>
        <w:color w:val="ffffff"/>
      </w:rPr>
      <w:tcPr>
        <w:shd w:fill="366091"/>
        <w:tcMar>
          <w:left w:w="115.0" w:type="dxa"/>
          <w:right w:w="115.0" w:type="dxa"/>
        </w:tcMar>
      </w:tcPr>
    </w:tblStylePr>
    <w:tblStylePr w:type="lastRow">
      <w:pPr>
        <w:contextualSpacing w:val="1"/>
      </w:pPr>
      <w:rPr>
        <w:b w:val="1"/>
        <w:color w:val="000000"/>
      </w:rPr>
      <w:tcPr>
        <w:shd w:fill="b8cce4"/>
        <w:tcMar>
          <w:left w:w="115.0" w:type="dxa"/>
          <w:right w:w="115.0" w:type="dxa"/>
        </w:tcMar>
      </w:tcPr>
    </w:tblStylePr>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5.png"/><Relationship Id="rId6" Type="http://schemas.openxmlformats.org/officeDocument/2006/relationships/image" Target="media/image01.png"/><Relationship Id="rId7" Type="http://schemas.openxmlformats.org/officeDocument/2006/relationships/image" Target="media/image03.png"/></Relationships>
</file>