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Subtitle"/>
        <w:contextualSpacing w:val="0"/>
      </w:pPr>
      <w:r w:rsidDel="00000000" w:rsidR="00000000" w:rsidRPr="00000000">
        <w:rPr>
          <w:rtl w:val="0"/>
        </w:rPr>
        <w:t xml:space="preserve">Pando - Bolivia</w:t>
      </w:r>
      <w:r w:rsidDel="00000000" w:rsidR="00000000" w:rsidRPr="00000000">
        <w:drawing>
          <wp:anchor allowOverlap="1" behindDoc="0" distB="0" distT="0" distL="114300" distR="114300" hidden="0" layoutInCell="0" locked="0" relativeHeight="0" simplePos="0">
            <wp:simplePos x="0" y="0"/>
            <wp:positionH relativeFrom="margin">
              <wp:posOffset>3722977</wp:posOffset>
            </wp:positionH>
            <wp:positionV relativeFrom="paragraph">
              <wp:posOffset>-688779</wp:posOffset>
            </wp:positionV>
            <wp:extent cx="2632668" cy="2602175"/>
            <wp:effectExtent b="0" l="0" r="0" t="0"/>
            <wp:wrapNone/>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2632668" cy="260217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38100</wp:posOffset>
                </wp:positionH>
                <wp:positionV relativeFrom="paragraph">
                  <wp:posOffset>228600</wp:posOffset>
                </wp:positionV>
                <wp:extent cx="2679700" cy="12700"/>
                <wp:effectExtent b="0" l="0" r="0" t="0"/>
                <wp:wrapNone/>
                <wp:docPr id="2" name=""/>
                <a:graphic>
                  <a:graphicData uri="http://schemas.microsoft.com/office/word/2010/wordprocessingShape">
                    <wps:wsp>
                      <wps:cNvCnPr/>
                      <wps:spPr>
                        <a:xfrm>
                          <a:off x="4004544" y="3780000"/>
                          <a:ext cx="2682909" cy="0"/>
                        </a:xfrm>
                        <a:prstGeom prst="straightConnector1">
                          <a:avLst/>
                        </a:prstGeom>
                        <a:noFill/>
                        <a:ln cap="flat" cmpd="sng" w="9525">
                          <a:solidFill>
                            <a:srgbClr val="4A7DBA"/>
                          </a:solidFill>
                          <a:prstDash val="solid"/>
                          <a:round/>
                          <a:headEnd len="med" w="med" type="none"/>
                          <a:tailEnd len="med" w="med" type="none"/>
                        </a:ln>
                      </wps:spPr>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38100</wp:posOffset>
                </wp:positionH>
                <wp:positionV relativeFrom="paragraph">
                  <wp:posOffset>228600</wp:posOffset>
                </wp:positionV>
                <wp:extent cx="2679700" cy="12700"/>
                <wp:effectExtent b="0" l="0" r="0" t="0"/>
                <wp:wrapNone/>
                <wp:docPr id="2" name="image03.png"/>
                <a:graphic>
                  <a:graphicData uri="http://schemas.openxmlformats.org/drawingml/2006/picture">
                    <pic:pic>
                      <pic:nvPicPr>
                        <pic:cNvPr id="0" name="image03.png"/>
                        <pic:cNvPicPr preferRelativeResize="0"/>
                      </pic:nvPicPr>
                      <pic:blipFill>
                        <a:blip r:embed="rId6"/>
                        <a:srcRect/>
                        <a:stretch>
                          <a:fillRect/>
                        </a:stretch>
                      </pic:blipFill>
                      <pic:spPr>
                        <a:xfrm>
                          <a:off x="0" y="0"/>
                          <a:ext cx="2679700" cy="12700"/>
                        </a:xfrm>
                        <a:prstGeom prst="rect"/>
                        <a:ln/>
                      </pic:spPr>
                    </pic:pic>
                  </a:graphicData>
                </a:graphic>
              </wp:anchor>
            </w:drawing>
          </mc:Fallback>
        </mc:AlternateContent>
      </w:r>
    </w:p>
    <w:p w:rsidR="00000000" w:rsidDel="00000000" w:rsidP="00000000" w:rsidRDefault="00000000" w:rsidRPr="00000000">
      <w:pPr>
        <w:contextualSpacing w:val="0"/>
      </w:pPr>
      <w:r w:rsidDel="00000000" w:rsidR="00000000" w:rsidRPr="00000000">
        <w:rPr>
          <w:i w:val="1"/>
          <w:color w:val="808080"/>
          <w:rtl w:val="0"/>
        </w:rPr>
        <w:t xml:space="preserve">Ciudad Capital:</w:t>
      </w:r>
      <w:r w:rsidDel="00000000" w:rsidR="00000000" w:rsidRPr="00000000">
        <w:rPr>
          <w:i w:val="0"/>
          <w:color w:val="808080"/>
          <w:rtl w:val="0"/>
        </w:rPr>
        <w:t xml:space="preserve"> Cobija</w:t>
      </w:r>
      <w:r w:rsidDel="00000000" w:rsidR="00000000" w:rsidRPr="00000000">
        <w:rPr>
          <w:rtl w:val="0"/>
        </w:rPr>
      </w:r>
    </w:p>
    <w:p w:rsidR="00000000" w:rsidDel="00000000" w:rsidP="00000000" w:rsidRDefault="00000000" w:rsidRPr="00000000">
      <w:pPr>
        <w:contextualSpacing w:val="0"/>
      </w:pPr>
      <w:r w:rsidDel="00000000" w:rsidR="00000000" w:rsidRPr="00000000">
        <w:rPr>
          <w:i w:val="1"/>
          <w:color w:val="808080"/>
          <w:rtl w:val="0"/>
        </w:rPr>
        <w:t xml:space="preserve">Superficie:</w:t>
      </w:r>
      <w:r w:rsidDel="00000000" w:rsidR="00000000" w:rsidRPr="00000000">
        <w:rPr>
          <w:rFonts w:ascii="Calibri" w:cs="Calibri" w:eastAsia="Calibri" w:hAnsi="Calibri"/>
          <w:color w:val="000000"/>
          <w:rtl w:val="0"/>
        </w:rPr>
        <w:t xml:space="preserve"> </w:t>
      </w:r>
      <w:r w:rsidDel="00000000" w:rsidR="00000000" w:rsidRPr="00000000">
        <w:rPr>
          <w:i w:val="0"/>
          <w:color w:val="808080"/>
          <w:rtl w:val="0"/>
        </w:rPr>
        <w:t xml:space="preserve">63.827</w:t>
      </w:r>
      <w:r w:rsidDel="00000000" w:rsidR="00000000" w:rsidRPr="00000000">
        <w:rPr>
          <w:rFonts w:ascii="Calibri" w:cs="Calibri" w:eastAsia="Calibri" w:hAnsi="Calibri"/>
          <w:color w:val="000000"/>
          <w:rtl w:val="0"/>
        </w:rPr>
        <w:t xml:space="preserve"> </w:t>
      </w:r>
      <w:r w:rsidDel="00000000" w:rsidR="00000000" w:rsidRPr="00000000">
        <w:rPr>
          <w:i w:val="0"/>
          <w:color w:val="808080"/>
          <w:rtl w:val="0"/>
        </w:rPr>
        <w:t xml:space="preserve">Km</w:t>
      </w:r>
      <w:r w:rsidDel="00000000" w:rsidR="00000000" w:rsidRPr="00000000">
        <w:rPr>
          <w:i w:val="0"/>
          <w:color w:val="808080"/>
          <w:vertAlign w:val="superscript"/>
          <w:rtl w:val="0"/>
        </w:rPr>
        <w:t xml:space="preserve">2</w:t>
      </w:r>
      <w:r w:rsidDel="00000000" w:rsidR="00000000" w:rsidRPr="00000000">
        <w:rPr>
          <w:rtl w:val="0"/>
        </w:rPr>
      </w:r>
    </w:p>
    <w:p w:rsidR="00000000" w:rsidDel="00000000" w:rsidP="00000000" w:rsidRDefault="00000000" w:rsidRPr="00000000">
      <w:pPr>
        <w:contextualSpacing w:val="0"/>
      </w:pPr>
      <w:r w:rsidDel="00000000" w:rsidR="00000000" w:rsidRPr="00000000">
        <w:rPr>
          <w:i w:val="1"/>
          <w:color w:val="808080"/>
          <w:rtl w:val="0"/>
        </w:rPr>
        <w:t xml:space="preserve">Población:</w:t>
      </w:r>
      <w:r w:rsidDel="00000000" w:rsidR="00000000" w:rsidRPr="00000000">
        <w:rPr>
          <w:rFonts w:ascii="Calibri" w:cs="Calibri" w:eastAsia="Calibri" w:hAnsi="Calibri"/>
          <w:color w:val="000000"/>
          <w:rtl w:val="0"/>
        </w:rPr>
        <w:t xml:space="preserve"> </w:t>
      </w:r>
      <w:r w:rsidDel="00000000" w:rsidR="00000000" w:rsidRPr="00000000">
        <w:rPr>
          <w:i w:val="0"/>
          <w:color w:val="808080"/>
          <w:rtl w:val="0"/>
        </w:rPr>
        <w:t xml:space="preserve">110.436</w:t>
      </w:r>
      <w:r w:rsidDel="00000000" w:rsidR="00000000" w:rsidRPr="00000000">
        <w:rPr>
          <w:rFonts w:ascii="Calibri" w:cs="Calibri" w:eastAsia="Calibri" w:hAnsi="Calibri"/>
          <w:color w:val="000000"/>
          <w:rtl w:val="0"/>
        </w:rPr>
        <w:t xml:space="preserve"> </w:t>
      </w:r>
      <w:r w:rsidDel="00000000" w:rsidR="00000000" w:rsidRPr="00000000">
        <w:rPr>
          <w:i w:val="0"/>
          <w:color w:val="808080"/>
          <w:rtl w:val="0"/>
        </w:rPr>
        <w:t xml:space="preserve">habitantes (2012)</w:t>
      </w:r>
    </w:p>
    <w:p w:rsidR="00000000" w:rsidDel="00000000" w:rsidP="00000000" w:rsidRDefault="00000000" w:rsidRPr="00000000">
      <w:pPr>
        <w:contextualSpacing w:val="0"/>
      </w:pPr>
      <w:r w:rsidDel="00000000" w:rsidR="00000000" w:rsidRPr="00000000">
        <w:rPr>
          <w:i w:val="1"/>
          <w:color w:val="808080"/>
          <w:rtl w:val="0"/>
        </w:rPr>
        <w:t xml:space="preserve">Gobernador </w:t>
      </w:r>
      <w:r w:rsidDel="00000000" w:rsidR="00000000" w:rsidRPr="00000000">
        <w:rPr>
          <w:i w:val="0"/>
          <w:color w:val="808080"/>
          <w:rtl w:val="0"/>
        </w:rPr>
        <w:t xml:space="preserve">Luis Adolfo Flores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
        <w:bidiVisual w:val="0"/>
        <w:tblW w:w="9075.0" w:type="dxa"/>
        <w:jc w:val="center"/>
        <w:tblBorders>
          <w:top w:color="000000" w:space="0" w:sz="4" w:val="single"/>
          <w:left w:color="000000" w:space="0" w:sz="4" w:val="single"/>
          <w:bottom w:color="000000" w:space="0" w:sz="4" w:val="single"/>
          <w:right w:color="000000" w:space="0" w:sz="4" w:val="single"/>
          <w:insideH w:color="ffffff" w:space="0" w:sz="4" w:val="single"/>
          <w:insideV w:color="000000" w:space="0" w:sz="4" w:val="single"/>
        </w:tblBorders>
        <w:tblLayout w:type="fixed"/>
        <w:tblLook w:val="04A0"/>
      </w:tblPr>
      <w:tblGrid>
        <w:gridCol w:w="2280"/>
        <w:gridCol w:w="2880"/>
        <w:gridCol w:w="1260"/>
        <w:gridCol w:w="795"/>
        <w:gridCol w:w="1860"/>
        <w:tblGridChange w:id="0">
          <w:tblGrid>
            <w:gridCol w:w="2280"/>
            <w:gridCol w:w="2880"/>
            <w:gridCol w:w="1260"/>
            <w:gridCol w:w="795"/>
            <w:gridCol w:w="1860"/>
          </w:tblGrid>
        </w:tblGridChange>
      </w:tblGrid>
      <w:tr>
        <w:tc>
          <w:tcPr/>
          <w:p w:rsidR="00000000" w:rsidDel="00000000" w:rsidP="00000000" w:rsidRDefault="00000000" w:rsidRPr="00000000">
            <w:pPr>
              <w:contextualSpacing w:val="0"/>
              <w:jc w:val="center"/>
            </w:pPr>
            <w:r w:rsidDel="00000000" w:rsidR="00000000" w:rsidRPr="00000000">
              <w:rPr>
                <w:b w:val="0"/>
                <w:color w:val="000000"/>
                <w:rtl w:val="0"/>
              </w:rPr>
              <w:t xml:space="preserve">Indicadores de referencia</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t xml:space="preserve">Indicador</w:t>
            </w:r>
          </w:p>
        </w:tc>
        <w:tc>
          <w:tcPr/>
          <w:p w:rsidR="00000000" w:rsidDel="00000000" w:rsidP="00000000" w:rsidRDefault="00000000" w:rsidRPr="00000000">
            <w:pPr>
              <w:contextualSpacing w:val="0"/>
            </w:pPr>
            <w:r w:rsidDel="00000000" w:rsidR="00000000" w:rsidRPr="00000000">
              <w:rPr>
                <w:rtl w:val="0"/>
              </w:rPr>
              <w:t xml:space="preserve">Valor</w:t>
            </w:r>
          </w:p>
        </w:tc>
        <w:tc>
          <w:tcPr/>
          <w:p w:rsidR="00000000" w:rsidDel="00000000" w:rsidP="00000000" w:rsidRDefault="00000000" w:rsidRPr="00000000">
            <w:pPr>
              <w:contextualSpacing w:val="0"/>
            </w:pPr>
            <w:r w:rsidDel="00000000" w:rsidR="00000000" w:rsidRPr="00000000">
              <w:rPr>
                <w:rtl w:val="0"/>
              </w:rPr>
              <w:t xml:space="preserve">Año</w:t>
            </w:r>
          </w:p>
        </w:tc>
        <w:tc>
          <w:tcPr/>
          <w:p w:rsidR="00000000" w:rsidDel="00000000" w:rsidP="00000000" w:rsidRDefault="00000000" w:rsidRPr="00000000">
            <w:pPr>
              <w:contextualSpacing w:val="0"/>
            </w:pPr>
            <w:r w:rsidDel="00000000" w:rsidR="00000000" w:rsidRPr="00000000">
              <w:rPr>
                <w:rtl w:val="0"/>
              </w:rPr>
              <w:t xml:space="preserve">Fuente</w:t>
            </w:r>
          </w:p>
        </w:tc>
      </w:tr>
      <w:tr>
        <w:tc>
          <w:tcPr>
            <w:shd w:fill="95b3d7"/>
          </w:tcPr>
          <w:p w:rsidR="00000000" w:rsidDel="00000000" w:rsidP="00000000" w:rsidRDefault="00000000" w:rsidRPr="00000000">
            <w:pPr>
              <w:contextualSpacing w:val="0"/>
            </w:pPr>
            <w:r w:rsidDel="00000000" w:rsidR="00000000" w:rsidRPr="00000000">
              <w:rPr>
                <w:b w:val="1"/>
                <w:color w:val="000000"/>
                <w:rtl w:val="0"/>
              </w:rPr>
              <w:t xml:space="preserve">Educación</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color w:val="000000"/>
                <w:rtl w:val="0"/>
              </w:rPr>
              <w:t xml:space="preserve">Tasa de Alfabetismo</w:t>
            </w:r>
          </w:p>
          <w:p w:rsidR="00000000" w:rsidDel="00000000" w:rsidP="00000000" w:rsidRDefault="00000000" w:rsidRPr="00000000">
            <w:pPr>
              <w:contextualSpacing w:val="0"/>
              <w:jc w:val="center"/>
            </w:pPr>
            <w:r w:rsidDel="00000000" w:rsidR="00000000" w:rsidRPr="00000000">
              <w:rPr>
                <w:rFonts w:ascii="Calibri" w:cs="Calibri" w:eastAsia="Calibri" w:hAnsi="Calibri"/>
                <w:color w:val="000000"/>
                <w:rtl w:val="0"/>
              </w:rPr>
              <w:t xml:space="preserve"> (Población 15 años y más)</w:t>
            </w: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t xml:space="preserve">96,18%</w:t>
            </w:r>
          </w:p>
        </w:tc>
        <w:tc>
          <w:tcPr/>
          <w:p w:rsidR="00000000" w:rsidDel="00000000" w:rsidP="00000000" w:rsidRDefault="00000000" w:rsidRPr="00000000">
            <w:pPr>
              <w:contextualSpacing w:val="0"/>
              <w:jc w:val="center"/>
            </w:pPr>
            <w:r w:rsidDel="00000000" w:rsidR="00000000" w:rsidRPr="00000000">
              <w:rPr>
                <w:rtl w:val="0"/>
              </w:rPr>
              <w:t xml:space="preserve">2013</w:t>
            </w:r>
          </w:p>
        </w:tc>
        <w:tc>
          <w:tcPr/>
          <w:p w:rsidR="00000000" w:rsidDel="00000000" w:rsidP="00000000" w:rsidRDefault="00000000" w:rsidRPr="00000000">
            <w:pPr>
              <w:contextualSpacing w:val="0"/>
            </w:pPr>
            <w:r w:rsidDel="00000000" w:rsidR="00000000" w:rsidRPr="00000000">
              <w:rPr>
                <w:rtl w:val="0"/>
              </w:rPr>
              <w:t xml:space="preserve">INEB</w:t>
            </w:r>
          </w:p>
        </w:tc>
      </w:tr>
      <w:tr>
        <w:tc>
          <w:tcPr>
            <w:shd w:fill="95b3d7"/>
          </w:tcPr>
          <w:p w:rsidR="00000000" w:rsidDel="00000000" w:rsidP="00000000" w:rsidRDefault="00000000" w:rsidRPr="00000000">
            <w:pPr>
              <w:contextualSpacing w:val="0"/>
            </w:pPr>
            <w:r w:rsidDel="00000000" w:rsidR="00000000" w:rsidRPr="00000000">
              <w:rPr>
                <w:b w:val="1"/>
                <w:color w:val="000000"/>
                <w:rtl w:val="0"/>
              </w:rPr>
              <w:t xml:space="preserve">Salud</w:t>
            </w:r>
          </w:p>
        </w:tc>
        <w:tc>
          <w:tcPr/>
          <w:p w:rsidR="00000000" w:rsidDel="00000000" w:rsidP="00000000" w:rsidRDefault="00000000" w:rsidRPr="00000000">
            <w:pPr>
              <w:contextualSpacing w:val="0"/>
              <w:jc w:val="center"/>
            </w:pPr>
            <w:r w:rsidDel="00000000" w:rsidR="00000000" w:rsidRPr="00000000">
              <w:rPr>
                <w:rtl w:val="0"/>
              </w:rPr>
              <w:t xml:space="preserve">Mortalidad Infantil</w:t>
            </w:r>
          </w:p>
          <w:p w:rsidR="00000000" w:rsidDel="00000000" w:rsidP="00000000" w:rsidRDefault="00000000" w:rsidRPr="00000000">
            <w:pPr>
              <w:contextualSpacing w:val="0"/>
              <w:jc w:val="center"/>
            </w:pPr>
            <w:r w:rsidDel="00000000" w:rsidR="00000000" w:rsidRPr="00000000">
              <w:rPr>
                <w:rtl w:val="0"/>
              </w:rPr>
              <w:t xml:space="preserve">(cada 1.000 nacidos)</w:t>
            </w:r>
          </w:p>
        </w:tc>
        <w:tc>
          <w:tcPr/>
          <w:p w:rsidR="00000000" w:rsidDel="00000000" w:rsidP="00000000" w:rsidRDefault="00000000" w:rsidRPr="00000000">
            <w:pPr>
              <w:contextualSpacing w:val="0"/>
              <w:jc w:val="center"/>
            </w:pPr>
            <w:r w:rsidDel="00000000" w:rsidR="00000000" w:rsidRPr="00000000">
              <w:rPr>
                <w:rtl w:val="0"/>
              </w:rPr>
              <w:t xml:space="preserve">161</w:t>
            </w:r>
          </w:p>
        </w:tc>
        <w:tc>
          <w:tcPr/>
          <w:p w:rsidR="00000000" w:rsidDel="00000000" w:rsidP="00000000" w:rsidRDefault="00000000" w:rsidRPr="00000000">
            <w:pPr>
              <w:contextualSpacing w:val="0"/>
              <w:jc w:val="center"/>
            </w:pPr>
            <w:r w:rsidDel="00000000" w:rsidR="00000000" w:rsidRPr="00000000">
              <w:rPr>
                <w:rtl w:val="0"/>
              </w:rPr>
              <w:t xml:space="preserve">2008</w:t>
            </w:r>
          </w:p>
        </w:tc>
        <w:tc>
          <w:tcPr/>
          <w:p w:rsidR="00000000" w:rsidDel="00000000" w:rsidP="00000000" w:rsidRDefault="00000000" w:rsidRPr="00000000">
            <w:pPr>
              <w:contextualSpacing w:val="0"/>
            </w:pPr>
            <w:r w:rsidDel="00000000" w:rsidR="00000000" w:rsidRPr="00000000">
              <w:rPr>
                <w:rtl w:val="0"/>
              </w:rPr>
              <w:t xml:space="preserve">INEB</w:t>
            </w:r>
          </w:p>
        </w:tc>
      </w:tr>
      <w:tr>
        <w:tc>
          <w:tcPr>
            <w:shd w:fill="95b3d7"/>
          </w:tcPr>
          <w:p w:rsidR="00000000" w:rsidDel="00000000" w:rsidP="00000000" w:rsidRDefault="00000000" w:rsidRPr="00000000">
            <w:pPr>
              <w:contextualSpacing w:val="0"/>
            </w:pPr>
            <w:r w:rsidDel="00000000" w:rsidR="00000000" w:rsidRPr="00000000">
              <w:rPr>
                <w:b w:val="1"/>
                <w:color w:val="000000"/>
                <w:rtl w:val="0"/>
              </w:rPr>
              <w:t xml:space="preserve">Empleo</w:t>
            </w:r>
          </w:p>
        </w:tc>
        <w:tc>
          <w:tcPr/>
          <w:p w:rsidR="00000000" w:rsidDel="00000000" w:rsidP="00000000" w:rsidRDefault="00000000" w:rsidRPr="00000000">
            <w:pPr>
              <w:contextualSpacing w:val="0"/>
              <w:jc w:val="center"/>
            </w:pPr>
            <w:r w:rsidDel="00000000" w:rsidR="00000000" w:rsidRPr="00000000">
              <w:rPr>
                <w:rtl w:val="0"/>
              </w:rPr>
              <w:t xml:space="preserve">PEA</w:t>
            </w:r>
          </w:p>
        </w:tc>
        <w:tc>
          <w:tcPr/>
          <w:p w:rsidR="00000000" w:rsidDel="00000000" w:rsidP="00000000" w:rsidRDefault="00000000" w:rsidRPr="00000000">
            <w:pPr>
              <w:contextualSpacing w:val="0"/>
              <w:jc w:val="center"/>
            </w:pPr>
            <w:r w:rsidDel="00000000" w:rsidR="00000000" w:rsidRPr="00000000">
              <w:rPr>
                <w:rtl w:val="0"/>
              </w:rPr>
              <w:t xml:space="preserve">48.013</w:t>
            </w:r>
          </w:p>
        </w:tc>
        <w:tc>
          <w:tcPr/>
          <w:p w:rsidR="00000000" w:rsidDel="00000000" w:rsidP="00000000" w:rsidRDefault="00000000" w:rsidRPr="00000000">
            <w:pPr>
              <w:contextualSpacing w:val="0"/>
              <w:jc w:val="center"/>
            </w:pPr>
            <w:r w:rsidDel="00000000" w:rsidR="00000000" w:rsidRPr="00000000">
              <w:rPr>
                <w:rtl w:val="0"/>
              </w:rPr>
              <w:t xml:space="preserve">2012</w:t>
            </w:r>
          </w:p>
        </w:tc>
        <w:tc>
          <w:tcPr/>
          <w:p w:rsidR="00000000" w:rsidDel="00000000" w:rsidP="00000000" w:rsidRDefault="00000000" w:rsidRPr="00000000">
            <w:pPr>
              <w:contextualSpacing w:val="0"/>
            </w:pPr>
            <w:r w:rsidDel="00000000" w:rsidR="00000000" w:rsidRPr="00000000">
              <w:rPr>
                <w:rtl w:val="0"/>
              </w:rPr>
              <w:t xml:space="preserve">INEB</w:t>
            </w:r>
          </w:p>
        </w:tc>
      </w:tr>
      <w:tr>
        <w:tc>
          <w:tcPr>
            <w:shd w:fill="95b3d7"/>
          </w:tcPr>
          <w:p w:rsidR="00000000" w:rsidDel="00000000" w:rsidP="00000000" w:rsidRDefault="00000000" w:rsidRPr="00000000">
            <w:pPr>
              <w:contextualSpacing w:val="0"/>
            </w:pPr>
            <w:r w:rsidDel="00000000" w:rsidR="00000000" w:rsidRPr="00000000">
              <w:rPr>
                <w:b w:val="1"/>
                <w:color w:val="000000"/>
                <w:rtl w:val="0"/>
              </w:rPr>
              <w:t xml:space="preserve">PBI</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color w:val="000000"/>
                <w:rtl w:val="0"/>
              </w:rPr>
              <w:t xml:space="preserve">Participación </w:t>
            </w:r>
          </w:p>
          <w:p w:rsidR="00000000" w:rsidDel="00000000" w:rsidP="00000000" w:rsidRDefault="00000000" w:rsidRPr="00000000">
            <w:pPr>
              <w:contextualSpacing w:val="0"/>
              <w:jc w:val="center"/>
            </w:pPr>
            <w:r w:rsidDel="00000000" w:rsidR="00000000" w:rsidRPr="00000000">
              <w:rPr>
                <w:rFonts w:ascii="Calibri" w:cs="Calibri" w:eastAsia="Calibri" w:hAnsi="Calibri"/>
                <w:color w:val="000000"/>
                <w:rtl w:val="0"/>
              </w:rPr>
              <w:t xml:space="preserve"> en el PBI nacional</w:t>
            </w: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t xml:space="preserve">0,87%</w:t>
            </w:r>
          </w:p>
        </w:tc>
        <w:tc>
          <w:tcPr/>
          <w:p w:rsidR="00000000" w:rsidDel="00000000" w:rsidP="00000000" w:rsidRDefault="00000000" w:rsidRPr="00000000">
            <w:pPr>
              <w:contextualSpacing w:val="0"/>
              <w:jc w:val="center"/>
            </w:pPr>
            <w:r w:rsidDel="00000000" w:rsidR="00000000" w:rsidRPr="00000000">
              <w:rPr>
                <w:rtl w:val="0"/>
              </w:rPr>
              <w:t xml:space="preserve">2013</w:t>
            </w:r>
          </w:p>
        </w:tc>
        <w:tc>
          <w:tcPr/>
          <w:p w:rsidR="00000000" w:rsidDel="00000000" w:rsidP="00000000" w:rsidRDefault="00000000" w:rsidRPr="00000000">
            <w:pPr>
              <w:contextualSpacing w:val="0"/>
            </w:pPr>
            <w:r w:rsidDel="00000000" w:rsidR="00000000" w:rsidRPr="00000000">
              <w:rPr>
                <w:rtl w:val="0"/>
              </w:rPr>
              <w:t xml:space="preserve">INEB</w:t>
            </w:r>
          </w:p>
        </w:tc>
      </w:tr>
      <w:tr>
        <w:tc>
          <w:tcPr>
            <w:shd w:fill="95b3d7"/>
          </w:tcPr>
          <w:p w:rsidR="00000000" w:rsidDel="00000000" w:rsidP="00000000" w:rsidRDefault="00000000" w:rsidRPr="00000000">
            <w:pPr>
              <w:contextualSpacing w:val="0"/>
            </w:pPr>
            <w:r w:rsidDel="00000000" w:rsidR="00000000" w:rsidRPr="00000000">
              <w:rPr>
                <w:b w:val="1"/>
                <w:color w:val="000000"/>
                <w:rtl w:val="0"/>
              </w:rPr>
              <w:t xml:space="preserve">Exportaciones</w:t>
            </w:r>
          </w:p>
        </w:tc>
        <w:tc>
          <w:tcPr/>
          <w:p w:rsidR="00000000" w:rsidDel="00000000" w:rsidP="00000000" w:rsidRDefault="00000000" w:rsidRPr="00000000">
            <w:pPr>
              <w:contextualSpacing w:val="0"/>
              <w:jc w:val="center"/>
            </w:pPr>
            <w:r w:rsidDel="00000000" w:rsidR="00000000" w:rsidRPr="00000000">
              <w:rPr>
                <w:rtl w:val="0"/>
              </w:rPr>
              <w:t xml:space="preserve">Valor de exportaciones </w:t>
            </w:r>
          </w:p>
          <w:p w:rsidR="00000000" w:rsidDel="00000000" w:rsidP="00000000" w:rsidRDefault="00000000" w:rsidRPr="00000000">
            <w:pPr>
              <w:contextualSpacing w:val="0"/>
              <w:jc w:val="center"/>
            </w:pPr>
            <w:r w:rsidDel="00000000" w:rsidR="00000000" w:rsidRPr="00000000">
              <w:rPr>
                <w:rtl w:val="0"/>
              </w:rPr>
              <w:t xml:space="preserve">anuales (en US$)</w:t>
            </w:r>
          </w:p>
        </w:tc>
        <w:tc>
          <w:tcPr/>
          <w:p w:rsidR="00000000" w:rsidDel="00000000" w:rsidP="00000000" w:rsidRDefault="00000000" w:rsidRPr="00000000">
            <w:pPr>
              <w:contextualSpacing w:val="0"/>
              <w:jc w:val="center"/>
            </w:pPr>
            <w:r w:rsidDel="00000000" w:rsidR="00000000" w:rsidRPr="00000000">
              <w:rPr>
                <w:rtl w:val="0"/>
              </w:rPr>
              <w:t xml:space="preserve">34.238.481</w:t>
            </w:r>
          </w:p>
        </w:tc>
        <w:tc>
          <w:tcPr/>
          <w:p w:rsidR="00000000" w:rsidDel="00000000" w:rsidP="00000000" w:rsidRDefault="00000000" w:rsidRPr="00000000">
            <w:pPr>
              <w:contextualSpacing w:val="0"/>
              <w:jc w:val="center"/>
            </w:pPr>
            <w:r w:rsidDel="00000000" w:rsidR="00000000" w:rsidRPr="00000000">
              <w:rPr>
                <w:rtl w:val="0"/>
              </w:rPr>
              <w:t xml:space="preserve">2015</w:t>
            </w:r>
          </w:p>
        </w:tc>
        <w:tc>
          <w:tcPr/>
          <w:p w:rsidR="00000000" w:rsidDel="00000000" w:rsidP="00000000" w:rsidRDefault="00000000" w:rsidRPr="00000000">
            <w:pPr>
              <w:contextualSpacing w:val="0"/>
            </w:pPr>
            <w:r w:rsidDel="00000000" w:rsidR="00000000" w:rsidRPr="00000000">
              <w:rPr>
                <w:rFonts w:ascii="Calibri" w:cs="Calibri" w:eastAsia="Calibri" w:hAnsi="Calibri"/>
                <w:color w:val="000000"/>
                <w:rtl w:val="0"/>
              </w:rPr>
              <w:t xml:space="preserve">IBCE</w:t>
            </w:r>
            <w:r w:rsidDel="00000000" w:rsidR="00000000" w:rsidRPr="00000000">
              <w:rPr>
                <w:rtl w:val="0"/>
              </w:rPr>
            </w:r>
          </w:p>
        </w:tc>
      </w:tr>
      <w:tr>
        <w:tc>
          <w:tcPr>
            <w:shd w:fill="95b3d7"/>
          </w:tcPr>
          <w:p w:rsidR="00000000" w:rsidDel="00000000" w:rsidP="00000000" w:rsidRDefault="00000000" w:rsidRPr="00000000">
            <w:pPr>
              <w:contextualSpacing w:val="0"/>
            </w:pPr>
            <w:r w:rsidDel="00000000" w:rsidR="00000000" w:rsidRPr="00000000">
              <w:rPr>
                <w:b w:val="1"/>
                <w:color w:val="000000"/>
                <w:rtl w:val="0"/>
              </w:rPr>
              <w:t xml:space="preserve">IDH</w:t>
            </w:r>
          </w:p>
        </w:tc>
        <w:tc>
          <w:tcPr/>
          <w:p w:rsidR="00000000" w:rsidDel="00000000" w:rsidP="00000000" w:rsidRDefault="00000000" w:rsidRPr="00000000">
            <w:pPr>
              <w:contextualSpacing w:val="0"/>
            </w:pPr>
            <w:r w:rsidDel="00000000" w:rsidR="00000000" w:rsidRPr="00000000">
              <w:rPr>
                <w:rtl w:val="0"/>
              </w:rPr>
              <w:t xml:space="preserve">Índice de Desarrollo Humano</w:t>
            </w:r>
          </w:p>
        </w:tc>
        <w:tc>
          <w:tcPr/>
          <w:p w:rsidR="00000000" w:rsidDel="00000000" w:rsidP="00000000" w:rsidRDefault="00000000" w:rsidRPr="00000000">
            <w:pPr>
              <w:contextualSpacing w:val="0"/>
              <w:jc w:val="center"/>
            </w:pPr>
            <w:r w:rsidDel="00000000" w:rsidR="00000000" w:rsidRPr="00000000">
              <w:rPr>
                <w:rtl w:val="0"/>
              </w:rPr>
              <w:t xml:space="preserve">0,618</w:t>
            </w:r>
          </w:p>
        </w:tc>
        <w:tc>
          <w:tcPr/>
          <w:p w:rsidR="00000000" w:rsidDel="00000000" w:rsidP="00000000" w:rsidRDefault="00000000" w:rsidRPr="00000000">
            <w:pPr>
              <w:contextualSpacing w:val="0"/>
              <w:jc w:val="center"/>
            </w:pPr>
            <w:r w:rsidDel="00000000" w:rsidR="00000000" w:rsidRPr="00000000">
              <w:rPr>
                <w:rtl w:val="0"/>
              </w:rPr>
              <w:t xml:space="preserve">2015</w:t>
            </w:r>
          </w:p>
        </w:tc>
        <w:tc>
          <w:tcPr/>
          <w:p w:rsidR="00000000" w:rsidDel="00000000" w:rsidP="00000000" w:rsidRDefault="00000000" w:rsidRPr="00000000">
            <w:pPr>
              <w:contextualSpacing w:val="0"/>
            </w:pPr>
            <w:r w:rsidDel="00000000" w:rsidR="00000000" w:rsidRPr="00000000">
              <w:rPr>
                <w:rtl w:val="0"/>
              </w:rPr>
              <w:t xml:space="preserve">PNUD</w:t>
            </w:r>
          </w:p>
        </w:tc>
      </w:tr>
      <w:tr>
        <w:tc>
          <w:tcPr>
            <w:shd w:fill="95b3d7"/>
          </w:tcPr>
          <w:p w:rsidR="00000000" w:rsidDel="00000000" w:rsidP="00000000" w:rsidRDefault="00000000" w:rsidRPr="00000000">
            <w:pPr>
              <w:contextualSpacing w:val="0"/>
            </w:pPr>
            <w:r w:rsidDel="00000000" w:rsidR="00000000" w:rsidRPr="00000000">
              <w:rPr>
                <w:b w:val="1"/>
                <w:color w:val="000000"/>
                <w:rtl w:val="0"/>
              </w:rPr>
              <w:t xml:space="preserve">Pobreza</w:t>
            </w: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t xml:space="preserve">Porcentaje de Pobreza</w:t>
            </w:r>
          </w:p>
        </w:tc>
        <w:tc>
          <w:tcPr/>
          <w:p w:rsidR="00000000" w:rsidDel="00000000" w:rsidP="00000000" w:rsidRDefault="00000000" w:rsidRPr="00000000">
            <w:pPr>
              <w:contextualSpacing w:val="0"/>
              <w:jc w:val="center"/>
            </w:pPr>
            <w:r w:rsidDel="00000000" w:rsidR="00000000" w:rsidRPr="00000000">
              <w:rPr>
                <w:rtl w:val="0"/>
              </w:rPr>
              <w:t xml:space="preserve">58,8%</w:t>
            </w:r>
          </w:p>
        </w:tc>
        <w:tc>
          <w:tcPr/>
          <w:p w:rsidR="00000000" w:rsidDel="00000000" w:rsidP="00000000" w:rsidRDefault="00000000" w:rsidRPr="00000000">
            <w:pPr>
              <w:contextualSpacing w:val="0"/>
              <w:jc w:val="center"/>
            </w:pPr>
            <w:r w:rsidDel="00000000" w:rsidR="00000000" w:rsidRPr="00000000">
              <w:rPr>
                <w:rtl w:val="0"/>
              </w:rPr>
              <w:t xml:space="preserve">2012</w:t>
            </w:r>
          </w:p>
        </w:tc>
        <w:tc>
          <w:tcPr/>
          <w:p w:rsidR="00000000" w:rsidDel="00000000" w:rsidP="00000000" w:rsidRDefault="00000000" w:rsidRPr="00000000">
            <w:pPr>
              <w:contextualSpacing w:val="0"/>
            </w:pPr>
            <w:r w:rsidDel="00000000" w:rsidR="00000000" w:rsidRPr="00000000">
              <w:rPr>
                <w:rtl w:val="0"/>
              </w:rPr>
              <w:t xml:space="preserve">INEB</w:t>
            </w:r>
          </w:p>
        </w:tc>
      </w:tr>
      <w:tr>
        <w:tc>
          <w:tcPr>
            <w:shd w:fill="95b3d7"/>
          </w:tcPr>
          <w:p w:rsidR="00000000" w:rsidDel="00000000" w:rsidP="00000000" w:rsidRDefault="00000000" w:rsidRPr="00000000">
            <w:pPr>
              <w:contextualSpacing w:val="0"/>
            </w:pPr>
            <w:r w:rsidDel="00000000" w:rsidR="00000000" w:rsidRPr="00000000">
              <w:rPr>
                <w:b w:val="1"/>
                <w:color w:val="000000"/>
                <w:rtl w:val="0"/>
              </w:rPr>
              <w:t xml:space="preserve">Estructura económica</w:t>
            </w:r>
          </w:p>
        </w:tc>
        <w:tc>
          <w:tcPr/>
          <w:p w:rsidR="00000000" w:rsidDel="00000000" w:rsidP="00000000" w:rsidRDefault="00000000" w:rsidRPr="00000000">
            <w:pPr>
              <w:contextualSpacing w:val="0"/>
              <w:jc w:val="center"/>
            </w:pPr>
            <w:r w:rsidDel="00000000" w:rsidR="00000000" w:rsidRPr="00000000">
              <w:rPr>
                <w:rtl w:val="0"/>
              </w:rPr>
              <w:t xml:space="preserve">Cantidad de empresas</w:t>
            </w:r>
          </w:p>
        </w:tc>
        <w:tc>
          <w:tcPr/>
          <w:p w:rsidR="00000000" w:rsidDel="00000000" w:rsidP="00000000" w:rsidRDefault="00000000" w:rsidRPr="00000000">
            <w:pPr>
              <w:contextualSpacing w:val="0"/>
              <w:jc w:val="center"/>
            </w:pPr>
            <w:r w:rsidDel="00000000" w:rsidR="00000000" w:rsidRPr="00000000">
              <w:rPr>
                <w:rtl w:val="0"/>
              </w:rPr>
              <w:t xml:space="preserve">3.209</w:t>
            </w:r>
          </w:p>
        </w:tc>
        <w:tc>
          <w:tcPr/>
          <w:p w:rsidR="00000000" w:rsidDel="00000000" w:rsidP="00000000" w:rsidRDefault="00000000" w:rsidRPr="00000000">
            <w:pPr>
              <w:contextualSpacing w:val="0"/>
              <w:jc w:val="center"/>
            </w:pPr>
            <w:r w:rsidDel="00000000" w:rsidR="00000000" w:rsidRPr="00000000">
              <w:rPr>
                <w:rtl w:val="0"/>
              </w:rPr>
              <w:t xml:space="preserve">2016</w:t>
            </w:r>
          </w:p>
        </w:tc>
        <w:tc>
          <w:tcPr/>
          <w:p w:rsidR="00000000" w:rsidDel="00000000" w:rsidP="00000000" w:rsidRDefault="00000000" w:rsidRPr="00000000">
            <w:pPr>
              <w:contextualSpacing w:val="0"/>
              <w:jc w:val="center"/>
            </w:pPr>
            <w:r w:rsidDel="00000000" w:rsidR="00000000" w:rsidRPr="00000000">
              <w:rPr>
                <w:rtl w:val="0"/>
              </w:rPr>
              <w:t xml:space="preserve">FUNDAEMPRESA</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i w:val="1"/>
          <w:rtl w:val="0"/>
        </w:rPr>
        <w:t xml:space="preserve">Principales actividades económicas:</w:t>
      </w:r>
    </w:p>
    <w:p w:rsidR="00000000" w:rsidDel="00000000" w:rsidP="00000000" w:rsidRDefault="00000000" w:rsidRPr="00000000">
      <w:pPr>
        <w:spacing w:after="0" w:lineRule="auto"/>
        <w:contextualSpacing w:val="0"/>
        <w:jc w:val="both"/>
      </w:pPr>
      <w:r w:rsidDel="00000000" w:rsidR="00000000" w:rsidRPr="00000000">
        <w:rPr>
          <w:i w:val="0"/>
          <w:color w:val="808080"/>
          <w:rtl w:val="0"/>
        </w:rPr>
        <w:t xml:space="preserve">Esta región, compone una pequeña parte del PBI nacional, pero significó per cápita unos USD 2.632 (2011). Las principales actividades son la minera (oro, litio, cinabrio, ilmenita, bauxita, columbita, piedras preciosas y semipreciosas), la agricultura  (maíz, cacao, café, yuca o mandioca, arroz, frutas tropicales, legumbres y hortalizas) y la ganadería que es la más importante para los habitantes de la región.</w:t>
      </w:r>
    </w:p>
    <w:p w:rsidR="00000000" w:rsidDel="00000000" w:rsidP="00000000" w:rsidRDefault="00000000" w:rsidRPr="00000000">
      <w:pPr>
        <w:spacing w:after="0" w:lineRule="auto"/>
        <w:contextualSpacing w:val="0"/>
        <w:jc w:val="both"/>
      </w:pPr>
      <w:r w:rsidDel="00000000" w:rsidR="00000000" w:rsidRPr="00000000">
        <w:rPr>
          <w:i w:val="0"/>
          <w:color w:val="808080"/>
          <w:rtl w:val="0"/>
        </w:rPr>
        <w:t xml:space="preserve">La pesca, la recolección de castaña o nuez amazónica, la extracción de goma y la actividad maderera suelen ser las ocupaciones de las personas con menos recursos. </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i w:val="1"/>
          <w:rtl w:val="0"/>
        </w:rPr>
        <w:t xml:space="preserve">Principales exportaciones:</w:t>
      </w:r>
    </w:p>
    <w:p w:rsidR="00000000" w:rsidDel="00000000" w:rsidP="00000000" w:rsidRDefault="00000000" w:rsidRPr="00000000">
      <w:pPr>
        <w:spacing w:after="0" w:lineRule="auto"/>
        <w:contextualSpacing w:val="0"/>
      </w:pPr>
      <w:r w:rsidDel="00000000" w:rsidR="00000000" w:rsidRPr="00000000">
        <w:rPr>
          <w:i w:val="0"/>
          <w:color w:val="808080"/>
          <w:rtl w:val="0"/>
        </w:rPr>
        <w:t xml:space="preserve">Pando sólo exporta 9 productos; siendo ellos en un 70% las nueces amazónicas y almendras, oro en bruto en un 25,69% y productos de la madera con distintos niveles de agregación de valor en un 4,78%.</w:t>
      </w:r>
    </w:p>
    <w:p w:rsidR="00000000" w:rsidDel="00000000" w:rsidP="00000000" w:rsidRDefault="00000000" w:rsidRPr="00000000">
      <w:pPr>
        <w:spacing w:after="0" w:lineRule="auto"/>
        <w:contextualSpacing w:val="0"/>
      </w:pPr>
      <w:bookmarkStart w:colFirst="0" w:colLast="0" w:name="_gjdgxs" w:id="0"/>
      <w:bookmarkEnd w:id="0"/>
      <w:r w:rsidDel="00000000" w:rsidR="00000000" w:rsidRPr="00000000">
        <w:rPr>
          <w:i w:val="0"/>
          <w:color w:val="808080"/>
          <w:rtl w:val="0"/>
        </w:rPr>
        <w:t xml:space="preserve">Los mercados a los que provee son el de E.E.U.U. (42,02%), Países Bajos (32,27%), Reino Unido (10,16%), Francia, Australia, Perú, Boznia y Herzegovina, Canadá, Sudáfrica y Alemania.</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i w:val="1"/>
          <w:rtl w:val="0"/>
        </w:rPr>
        <w:t xml:space="preserve">Principales cadenas productivas:</w:t>
      </w:r>
    </w:p>
    <w:p w:rsidR="00000000" w:rsidDel="00000000" w:rsidP="00000000" w:rsidRDefault="00000000" w:rsidRPr="00000000">
      <w:pPr>
        <w:spacing w:after="0" w:lineRule="auto"/>
        <w:contextualSpacing w:val="0"/>
        <w:jc w:val="both"/>
      </w:pPr>
      <w:r w:rsidDel="00000000" w:rsidR="00000000" w:rsidRPr="00000000">
        <w:rPr>
          <w:color w:val="808080"/>
          <w:rtl w:val="0"/>
        </w:rPr>
        <w:t xml:space="preserve">En Pando se ha creado recientemente un Parque científico y tecnológico, que además de intentar desarrollar territorialmente el área mediante la innovación en el campo de las telecomunicaciones, la energía y el medio ambiente; pretende incidir en la biotecnología y el turismo. Entre sus objetivos se encuentra el de accionar en las cadenas productivas de Pando, como son la de las alimenticias como la de la castaña y la acuícola, pero también la medicinal y cosmética, las artesanías y la construcción.</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i w:val="1"/>
          <w:rtl w:val="0"/>
        </w:rPr>
        <w:t xml:space="preserve">Estructura económica:</w:t>
      </w:r>
    </w:p>
    <w:p w:rsidR="00000000" w:rsidDel="00000000" w:rsidP="00000000" w:rsidRDefault="00000000" w:rsidRPr="00000000">
      <w:pPr>
        <w:spacing w:after="0" w:lineRule="auto"/>
        <w:contextualSpacing w:val="0"/>
        <w:jc w:val="both"/>
      </w:pPr>
      <w:r w:rsidDel="00000000" w:rsidR="00000000" w:rsidRPr="00000000">
        <w:rPr>
          <w:color w:val="808080"/>
          <w:rtl w:val="0"/>
        </w:rPr>
        <w:t xml:space="preserve">Exportador nato de castaña y madera; con un PIB per cápita que está entre los tres primeros del país, y con una vocación agrícola que suele alternarse cíclicamente con otras actividades como la construcción y la minería dependiendo de los flujos de inversión pública o privada, el Departamento de Pando tiene un potencial productivo promisorio. </w:t>
      </w:r>
    </w:p>
    <w:p w:rsidR="00000000" w:rsidDel="00000000" w:rsidP="00000000" w:rsidRDefault="00000000" w:rsidRPr="00000000">
      <w:pPr>
        <w:contextualSpacing w:val="0"/>
        <w:jc w:val="both"/>
      </w:pPr>
      <w:r w:rsidDel="00000000" w:rsidR="00000000" w:rsidRPr="00000000">
        <w:rPr>
          <w:color w:val="808080"/>
          <w:rtl w:val="0"/>
        </w:rPr>
        <w:t xml:space="preserve">En 2014, el sector primario acumuló el 34% del PBI, mientras el sector secundario el 28% y los servicios, un 38%.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17" w:top="1417" w:left="1701" w:right="17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200" w:before="0" w:line="276" w:lineRule="auto"/>
    </w:pPr>
    <w:rPr>
      <w:rFonts w:ascii="Cambria" w:cs="Cambria" w:eastAsia="Cambria" w:hAnsi="Cambria"/>
      <w:b w:val="0"/>
      <w:i w:val="1"/>
      <w:color w:val="4f81bd"/>
      <w:sz w:val="24"/>
      <w:szCs w:val="24"/>
    </w:rPr>
  </w:style>
  <w:style w:type="table" w:styleId="Table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dbe5f1"/>
    </w:tcPr>
    <w:tblStylePr w:type="band1Horz">
      <w:pPr>
        <w:contextualSpacing w:val="1"/>
      </w:pPr>
      <w:rPr/>
      <w:tcPr>
        <w:shd w:fill="a7c0de"/>
        <w:tcMar>
          <w:left w:w="115.0" w:type="dxa"/>
          <w:right w:w="115.0" w:type="dxa"/>
        </w:tcMar>
      </w:tcPr>
    </w:tblStylePr>
    <w:tblStylePr w:type="band1Vert">
      <w:pPr>
        <w:contextualSpacing w:val="1"/>
      </w:pPr>
      <w:rPr/>
      <w:tcPr>
        <w:shd w:fill="a7c0de"/>
        <w:tcMar>
          <w:left w:w="115.0" w:type="dxa"/>
          <w:right w:w="115.0" w:type="dxa"/>
        </w:tcMar>
      </w:tcPr>
    </w:tblStylePr>
    <w:tblStylePr w:type="band2Horz"/>
    <w:tblStylePr w:type="band2Vert"/>
    <w:tblStylePr w:type="firstCol">
      <w:pPr>
        <w:contextualSpacing w:val="1"/>
      </w:pPr>
      <w:rPr>
        <w:color w:val="ffffff"/>
      </w:rPr>
      <w:tcPr>
        <w:shd w:fill="366091"/>
        <w:tcMar>
          <w:left w:w="115.0" w:type="dxa"/>
          <w:right w:w="115.0" w:type="dxa"/>
        </w:tcMar>
      </w:tcPr>
    </w:tblStylePr>
    <w:tblStylePr w:type="firstRow">
      <w:pPr>
        <w:contextualSpacing w:val="1"/>
      </w:pPr>
      <w:rPr>
        <w:b w:val="1"/>
      </w:rPr>
      <w:tcPr>
        <w:shd w:fill="b8cce4"/>
        <w:tcMar>
          <w:left w:w="115.0" w:type="dxa"/>
          <w:right w:w="115.0" w:type="dxa"/>
        </w:tcMar>
      </w:tcPr>
    </w:tblStylePr>
    <w:tblStylePr w:type="lastCol">
      <w:pPr>
        <w:contextualSpacing w:val="1"/>
      </w:pPr>
      <w:rPr>
        <w:color w:val="ffffff"/>
      </w:rPr>
      <w:tcPr>
        <w:shd w:fill="366091"/>
        <w:tcMar>
          <w:left w:w="115.0" w:type="dxa"/>
          <w:right w:w="115.0" w:type="dxa"/>
        </w:tcMar>
      </w:tcPr>
    </w:tblStylePr>
    <w:tblStylePr w:type="lastRow">
      <w:pPr>
        <w:contextualSpacing w:val="1"/>
      </w:pPr>
      <w:rPr>
        <w:b w:val="1"/>
        <w:color w:val="000000"/>
      </w:rPr>
      <w:tcPr>
        <w:shd w:fill="b8cce4"/>
        <w:tcMar>
          <w:left w:w="115.0" w:type="dxa"/>
          <w:right w:w="115.0" w:type="dxa"/>
        </w:tcMar>
      </w:tcPr>
    </w:tblStylePr>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image" Target="media/image03.png"/></Relationships>
</file>