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rtl w:val="0"/>
        </w:rPr>
        <w:t xml:space="preserve">Potosí - Bolivia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3722977</wp:posOffset>
            </wp:positionH>
            <wp:positionV relativeFrom="paragraph">
              <wp:posOffset>-688779</wp:posOffset>
            </wp:positionV>
            <wp:extent cx="2632668" cy="2602175"/>
            <wp:effectExtent b="0" l="0" r="0" t="0"/>
            <wp:wrapNone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668" cy="260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4544" y="3780000"/>
                          <a:ext cx="268290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Ciudad Capital: </w:t>
      </w:r>
      <w:r w:rsidDel="00000000" w:rsidR="00000000" w:rsidRPr="00000000">
        <w:rPr>
          <w:i w:val="0"/>
          <w:color w:val="808080"/>
          <w:rtl w:val="0"/>
        </w:rPr>
        <w:t xml:space="preserve">Potosí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Superficie: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118.218 Km</w:t>
      </w:r>
      <w:r w:rsidDel="00000000" w:rsidR="00000000" w:rsidRPr="00000000">
        <w:rPr>
          <w:i w:val="0"/>
          <w:color w:val="80808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Población: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828.093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habitantes (2012)</w:t>
      </w:r>
    </w:p>
    <w:p w:rsidR="00000000" w:rsidDel="00000000" w:rsidP="00000000" w:rsidRDefault="00000000" w:rsidRPr="00000000">
      <w:pPr>
        <w:spacing w:after="168" w:before="120" w:lineRule="auto"/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Gobernador </w:t>
      </w:r>
      <w:hyperlink r:id="rId7">
        <w:r w:rsidDel="00000000" w:rsidR="00000000" w:rsidRPr="00000000">
          <w:rPr>
            <w:i w:val="0"/>
            <w:color w:val="808080"/>
            <w:rtl w:val="0"/>
          </w:rPr>
          <w:t xml:space="preserve">Félix González Bernal</w:t>
        </w:r>
      </w:hyperlink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lineRule="auto"/>
        <w:contextualSpacing w:val="0"/>
      </w:pPr>
      <w:hyperlink r:id="rId10">
        <w:r w:rsidDel="00000000" w:rsidR="00000000" w:rsidRPr="00000000">
          <w:rPr>
            <w:rtl w:val="0"/>
          </w:rPr>
        </w:r>
      </w:hyperlink>
    </w:p>
    <w:tbl>
      <w:tblPr>
        <w:tblStyle w:val="Table1"/>
        <w:bidiVisual w:val="0"/>
        <w:tblW w:w="9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4" w:val="single"/>
          <w:insideV w:color="000000" w:space="0" w:sz="4" w:val="single"/>
        </w:tblBorders>
        <w:tblLayout w:type="fixed"/>
        <w:tblLook w:val="04A0"/>
      </w:tblPr>
      <w:tblGrid>
        <w:gridCol w:w="2280"/>
        <w:gridCol w:w="2865"/>
        <w:gridCol w:w="1560"/>
        <w:gridCol w:w="810"/>
        <w:gridCol w:w="1815"/>
        <w:tblGridChange w:id="0">
          <w:tblGrid>
            <w:gridCol w:w="2280"/>
            <w:gridCol w:w="2865"/>
            <w:gridCol w:w="1560"/>
            <w:gridCol w:w="810"/>
            <w:gridCol w:w="181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Indicadores de referencia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Fuente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Educación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Tasa de Alfabetismo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(Población 15 años y más)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78,94%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Mortalidad Infantil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(cada 1.000 nacidos)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288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Empleo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PEA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368.149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PBI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Participación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 el PBI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5,49%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Exportaciones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 de exportaciones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anuales (en US$)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1.527.732.931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IBCE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Índice de Desarrollo Humano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0,554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PNUD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Pobreza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Porcentaje de Pobreza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59,7%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Estructura económica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Cantidad de empresas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11.986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FUNDAEMPRESA</w:t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actividades económicas: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El PBI per cápita departamental fue en 2011 de USD 2.228. La actividad más importante es la minería (34% del PIB departamental en 2009). Aunque los yacimientos de </w:t>
      </w:r>
      <w:hyperlink r:id="rId11">
        <w:r w:rsidDel="00000000" w:rsidR="00000000" w:rsidRPr="00000000">
          <w:rPr>
            <w:i w:val="0"/>
            <w:color w:val="808080"/>
            <w:rtl w:val="0"/>
          </w:rPr>
          <w:t xml:space="preserve">plata</w:t>
        </w:r>
      </w:hyperlink>
      <w:r w:rsidDel="00000000" w:rsidR="00000000" w:rsidRPr="00000000">
        <w:rPr>
          <w:i w:val="0"/>
          <w:color w:val="808080"/>
          <w:rtl w:val="0"/>
        </w:rPr>
        <w:t xml:space="preserve"> que hicieron famosa a la región ya están totalmente agotados, el subsuelo aún guarda numerosas riquezas minerales. Existen yacimientos de </w:t>
      </w:r>
      <w:hyperlink r:id="rId12">
        <w:r w:rsidDel="00000000" w:rsidR="00000000" w:rsidRPr="00000000">
          <w:rPr>
            <w:i w:val="0"/>
            <w:color w:val="808080"/>
            <w:rtl w:val="0"/>
          </w:rPr>
          <w:t xml:space="preserve">antimonio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13">
        <w:r w:rsidDel="00000000" w:rsidR="00000000" w:rsidRPr="00000000">
          <w:rPr>
            <w:i w:val="0"/>
            <w:color w:val="808080"/>
            <w:rtl w:val="0"/>
          </w:rPr>
          <w:t xml:space="preserve">plomo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14">
        <w:r w:rsidDel="00000000" w:rsidR="00000000" w:rsidRPr="00000000">
          <w:rPr>
            <w:i w:val="0"/>
            <w:color w:val="808080"/>
            <w:rtl w:val="0"/>
          </w:rPr>
          <w:t xml:space="preserve">zinc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15">
        <w:r w:rsidDel="00000000" w:rsidR="00000000" w:rsidRPr="00000000">
          <w:rPr>
            <w:i w:val="0"/>
            <w:color w:val="808080"/>
            <w:rtl w:val="0"/>
          </w:rPr>
          <w:t xml:space="preserve">bismuto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16">
        <w:r w:rsidDel="00000000" w:rsidR="00000000" w:rsidRPr="00000000">
          <w:rPr>
            <w:i w:val="0"/>
            <w:color w:val="808080"/>
            <w:rtl w:val="0"/>
          </w:rPr>
          <w:t xml:space="preserve">wólfram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17">
        <w:r w:rsidDel="00000000" w:rsidR="00000000" w:rsidRPr="00000000">
          <w:rPr>
            <w:i w:val="0"/>
            <w:color w:val="808080"/>
            <w:rtl w:val="0"/>
          </w:rPr>
          <w:t xml:space="preserve">azufre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18">
        <w:r w:rsidDel="00000000" w:rsidR="00000000" w:rsidRPr="00000000">
          <w:rPr>
            <w:i w:val="0"/>
            <w:color w:val="808080"/>
            <w:rtl w:val="0"/>
          </w:rPr>
          <w:t xml:space="preserve">bórax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19">
        <w:r w:rsidDel="00000000" w:rsidR="00000000" w:rsidRPr="00000000">
          <w:rPr>
            <w:i w:val="0"/>
            <w:color w:val="808080"/>
            <w:rtl w:val="0"/>
          </w:rPr>
          <w:t xml:space="preserve">sal</w:t>
        </w:r>
      </w:hyperlink>
      <w:r w:rsidDel="00000000" w:rsidR="00000000" w:rsidRPr="00000000">
        <w:rPr>
          <w:i w:val="0"/>
          <w:color w:val="808080"/>
          <w:rtl w:val="0"/>
        </w:rPr>
        <w:t xml:space="preserve"> común, </w:t>
      </w:r>
      <w:hyperlink r:id="rId20">
        <w:r w:rsidDel="00000000" w:rsidR="00000000" w:rsidRPr="00000000">
          <w:rPr>
            <w:i w:val="0"/>
            <w:color w:val="808080"/>
            <w:rtl w:val="0"/>
          </w:rPr>
          <w:t xml:space="preserve">litio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21">
        <w:r w:rsidDel="00000000" w:rsidR="00000000" w:rsidRPr="00000000">
          <w:rPr>
            <w:i w:val="0"/>
            <w:color w:val="808080"/>
            <w:rtl w:val="0"/>
          </w:rPr>
          <w:t xml:space="preserve">cobre</w:t>
        </w:r>
      </w:hyperlink>
      <w:r w:rsidDel="00000000" w:rsidR="00000000" w:rsidRPr="00000000">
        <w:rPr>
          <w:i w:val="0"/>
          <w:color w:val="808080"/>
          <w:rtl w:val="0"/>
        </w:rPr>
        <w:t xml:space="preserve">, </w:t>
      </w:r>
      <w:hyperlink r:id="rId22">
        <w:r w:rsidDel="00000000" w:rsidR="00000000" w:rsidRPr="00000000">
          <w:rPr>
            <w:i w:val="0"/>
            <w:color w:val="808080"/>
            <w:rtl w:val="0"/>
          </w:rPr>
          <w:t xml:space="preserve">oro</w:t>
        </w:r>
      </w:hyperlink>
      <w:r w:rsidDel="00000000" w:rsidR="00000000" w:rsidRPr="00000000">
        <w:rPr>
          <w:i w:val="0"/>
          <w:color w:val="808080"/>
          <w:rtl w:val="0"/>
        </w:rPr>
        <w:t xml:space="preserve"> y posiblemente, </w:t>
      </w:r>
      <w:hyperlink r:id="rId23">
        <w:r w:rsidDel="00000000" w:rsidR="00000000" w:rsidRPr="00000000">
          <w:rPr>
            <w:i w:val="0"/>
            <w:color w:val="808080"/>
            <w:rtl w:val="0"/>
          </w:rPr>
          <w:t xml:space="preserve">uranio</w:t>
        </w:r>
      </w:hyperlink>
      <w:r w:rsidDel="00000000" w:rsidR="00000000" w:rsidRPr="00000000">
        <w:rPr>
          <w:i w:val="0"/>
          <w:color w:val="808080"/>
          <w:rtl w:val="0"/>
        </w:rPr>
        <w:t xml:space="preserve"> explotados por compañías extranjeras.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La minería es seguida en peso económico por la producción agrícola generalmente para el mercado local –mayoritariamente de papa, pero también maíz, haba, trigo, cebada y quinua-. Este es el sector que absorbe mayor empleo seguido de las actividades pecuarias y la pesca. Luego se posicionan la industria extractiva, la construcción y la industria manufacturera.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Principales exportaciones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i w:val="0"/>
          <w:color w:val="808080"/>
          <w:rtl w:val="0"/>
        </w:rPr>
        <w:t xml:space="preserve">Potosí exportó en 2015, 25 productos. El valor generado por esas ventas al exterior fue abrumadoramente minero: Zinc (47,74%), Plata (37,77%), Plomo (7,39%), Borato de Sodio (2,38%) y otros. Por su parte la Quinua representó ingresos por 9.098.771 US$.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Los mercados de destino fueron los productores de tecnologías que utilizan los productos potosinos para baterías de celulares y otros componentes, como Corea del Sur (22,745), Japón (20,22%), Bélgica-Luxemburgo (17,41%), China (9,92%), E.E.U.U. (8,34%) y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cadenas productivas: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En Potosí existen grandes capacidades productivas en torno de diversas cadenas; como son en primer lugar la minera pero también las de la quinoa; oleaginosas; maderera, del cuero, textiles y sus manufacturas; camélidos (fibra y carnes), banana, palmitos, carne bovina, castaña, vitivinícola y maíz-avícola. Además, el Estado se encuentra impulsando las actividades relacionadas al turismo, en conjunto con Sucre y Uyuni.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Estructura económica: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En 2014, el sector primario acumuló un enorme 43% del PBI, mientras el sector secundario un paupérrimo 13% y los servicios, un 44%.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/>
    </w:tcPr>
    <w:tblStylePr w:type="band1Horz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>
        <w:b w:val="1"/>
      </w:rPr>
      <w:tcPr>
        <w:shd w:fill="b8cce4"/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>
        <w:b w:val="1"/>
        <w:color w:val="000000"/>
      </w:rPr>
      <w:tcPr>
        <w:shd w:fill="b8cce4"/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s.wikipedia.org/wiki/Litio" TargetMode="External"/><Relationship Id="rId11" Type="http://schemas.openxmlformats.org/officeDocument/2006/relationships/hyperlink" Target="https://es.wikipedia.org/wiki/Plata" TargetMode="External"/><Relationship Id="rId22" Type="http://schemas.openxmlformats.org/officeDocument/2006/relationships/hyperlink" Target="https://es.wikipedia.org/wiki/Oro" TargetMode="External"/><Relationship Id="rId10" Type="http://schemas.openxmlformats.org/officeDocument/2006/relationships/hyperlink" Target="https://es.wikipedia.org/wiki/F%C3%A9lix_Gonz%C3%A1lez_Bernal" TargetMode="External"/><Relationship Id="rId21" Type="http://schemas.openxmlformats.org/officeDocument/2006/relationships/hyperlink" Target="https://es.wikipedia.org/wiki/Cobre" TargetMode="External"/><Relationship Id="rId13" Type="http://schemas.openxmlformats.org/officeDocument/2006/relationships/hyperlink" Target="https://es.wikipedia.org/wiki/Plomo" TargetMode="External"/><Relationship Id="rId12" Type="http://schemas.openxmlformats.org/officeDocument/2006/relationships/hyperlink" Target="https://es.wikipedia.org/wiki/Antimonio" TargetMode="External"/><Relationship Id="rId23" Type="http://schemas.openxmlformats.org/officeDocument/2006/relationships/hyperlink" Target="https://es.wikipedia.org/wiki/Uranio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es.wikipedia.org/wiki/F%C3%A9lix_Gonz%C3%A1lez_Bernal" TargetMode="External"/><Relationship Id="rId15" Type="http://schemas.openxmlformats.org/officeDocument/2006/relationships/hyperlink" Target="https://es.wikipedia.org/wiki/Bismuto" TargetMode="External"/><Relationship Id="rId14" Type="http://schemas.openxmlformats.org/officeDocument/2006/relationships/hyperlink" Target="https://es.wikipedia.org/wiki/Zinc" TargetMode="External"/><Relationship Id="rId17" Type="http://schemas.openxmlformats.org/officeDocument/2006/relationships/hyperlink" Target="https://es.wikipedia.org/wiki/Azufre" TargetMode="External"/><Relationship Id="rId16" Type="http://schemas.openxmlformats.org/officeDocument/2006/relationships/hyperlink" Target="https://es.wikipedia.org/wiki/W%C3%B3lfram" TargetMode="External"/><Relationship Id="rId5" Type="http://schemas.openxmlformats.org/officeDocument/2006/relationships/image" Target="media/image01.png"/><Relationship Id="rId19" Type="http://schemas.openxmlformats.org/officeDocument/2006/relationships/hyperlink" Target="https://es.wikipedia.org/wiki/Sal" TargetMode="External"/><Relationship Id="rId6" Type="http://schemas.openxmlformats.org/officeDocument/2006/relationships/image" Target="media/image03.png"/><Relationship Id="rId18" Type="http://schemas.openxmlformats.org/officeDocument/2006/relationships/hyperlink" Target="https://es.wikipedia.org/wiki/B%C3%B3rax" TargetMode="External"/><Relationship Id="rId7" Type="http://schemas.openxmlformats.org/officeDocument/2006/relationships/hyperlink" Target="https://es.wikipedia.org/wiki/F%C3%A9lix_Gonz%C3%A1lez_Bernal" TargetMode="External"/><Relationship Id="rId8" Type="http://schemas.openxmlformats.org/officeDocument/2006/relationships/hyperlink" Target="https://es.wikipedia.org/wiki/F%C3%A9lix_Gonz%C3%A1lez_Bernal" TargetMode="External"/></Relationships>
</file>