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Subtitle"/>
        <w:contextualSpacing w:val="0"/>
      </w:pPr>
      <w:r w:rsidDel="00000000" w:rsidR="00000000" w:rsidRPr="00000000">
        <w:rPr>
          <w:color w:val="3c78d8"/>
          <w:rtl w:val="0"/>
        </w:rPr>
        <w:t xml:space="preserve">Santa Cruz -Bolivia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3812804</wp:posOffset>
            </wp:positionH>
            <wp:positionV relativeFrom="paragraph">
              <wp:posOffset>-627994</wp:posOffset>
            </wp:positionV>
            <wp:extent cx="2230734" cy="2301072"/>
            <wp:effectExtent b="0" l="0" r="0" t="0"/>
            <wp:wrapNone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0734" cy="23010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228600</wp:posOffset>
                </wp:positionV>
                <wp:extent cx="2679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4544" y="3780000"/>
                          <a:ext cx="268290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228600</wp:posOffset>
                </wp:positionV>
                <wp:extent cx="2679700" cy="127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Ciudad capital: Santa Cruz de la Sierra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Superficie: </w:t>
      </w:r>
      <w:r w:rsidDel="00000000" w:rsidR="00000000" w:rsidRPr="00000000">
        <w:rPr>
          <w:i w:val="0"/>
          <w:color w:val="808080"/>
          <w:rtl w:val="0"/>
        </w:rPr>
        <w:t xml:space="preserve">370.621 Km</w:t>
      </w:r>
      <w:r w:rsidDel="00000000" w:rsidR="00000000" w:rsidRPr="00000000">
        <w:rPr>
          <w:i w:val="0"/>
          <w:color w:val="80808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Población: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2.657.762 habitantes (2012)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0"/>
          <w:color w:val="808080"/>
          <w:rtl w:val="0"/>
        </w:rPr>
        <w:t xml:space="preserve">Gobernador Rubén Costas Aguilera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7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ffffff" w:space="0" w:sz="4" w:val="single"/>
          <w:insideV w:color="000000" w:space="0" w:sz="4" w:val="single"/>
        </w:tblBorders>
        <w:tblLayout w:type="fixed"/>
        <w:tblLook w:val="04A0"/>
      </w:tblPr>
      <w:tblGrid>
        <w:gridCol w:w="2297"/>
        <w:gridCol w:w="2865"/>
        <w:gridCol w:w="1545"/>
        <w:gridCol w:w="855"/>
        <w:gridCol w:w="2190"/>
        <w:tblGridChange w:id="0">
          <w:tblGrid>
            <w:gridCol w:w="2297"/>
            <w:gridCol w:w="2865"/>
            <w:gridCol w:w="1545"/>
            <w:gridCol w:w="855"/>
            <w:gridCol w:w="219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Indicadores de referencia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Indicador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Año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Fuente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Educación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Tasa de Alfabetismo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(Población 15 años y más)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96,53%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Salud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Mortalidad Infantil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(cada 1.000 nacidos)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146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2008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Empleo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PEA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1.233.341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PBI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Participación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en el PBI nacional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28,10%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Exportaciones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Valor de exportaciones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anuales (en US$)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2.214.914.605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IBCE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IDH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Índice de Desarrollo Humano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0,821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PNUD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Pobreza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Porcentaje de Pobreza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35,5%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Estructura económica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Cantidad de empresas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79.488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FUNDAEMPRESA</w:t>
            </w:r>
          </w:p>
        </w:tc>
      </w:tr>
    </w:tbl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i w:val="1"/>
          <w:color w:val="000000"/>
          <w:rtl w:val="0"/>
        </w:rPr>
        <w:t xml:space="preserve">Principales actividades económicas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El departamento de Santa Cruz, es el más extenso y poblado de Bolivia. Su economía se caracteriza por el procesamiento de la producción agropecuaria y forestal; dentro de la cual se destacan la soja, la caña de azúcar, el algodón, la madera. Santa Cruz cultiva más del 45% de la producción agrícola del país y contribuye con más del 40% de la producción agropecuaria nacional, aunque en algunos rubros como las fibras, su contribución llega al 97,54% las </w:t>
      </w:r>
      <w:hyperlink r:id="rId7">
        <w:r w:rsidDel="00000000" w:rsidR="00000000" w:rsidRPr="00000000">
          <w:rPr>
            <w:i w:val="0"/>
            <w:color w:val="808080"/>
            <w:rtl w:val="0"/>
          </w:rPr>
          <w:t xml:space="preserve">oleaginosas</w:t>
        </w:r>
      </w:hyperlink>
      <w:r w:rsidDel="00000000" w:rsidR="00000000" w:rsidRPr="00000000">
        <w:rPr>
          <w:i w:val="0"/>
          <w:color w:val="808080"/>
          <w:rtl w:val="0"/>
        </w:rPr>
        <w:t xml:space="preserve"> al 95,61% el tabaco al 84,41% y la </w:t>
      </w:r>
      <w:hyperlink r:id="rId8">
        <w:r w:rsidDel="00000000" w:rsidR="00000000" w:rsidRPr="00000000">
          <w:rPr>
            <w:i w:val="0"/>
            <w:color w:val="808080"/>
            <w:rtl w:val="0"/>
          </w:rPr>
          <w:t xml:space="preserve">caña de azúcar</w:t>
        </w:r>
      </w:hyperlink>
      <w:r w:rsidDel="00000000" w:rsidR="00000000" w:rsidRPr="00000000">
        <w:rPr>
          <w:i w:val="0"/>
          <w:color w:val="808080"/>
          <w:rtl w:val="0"/>
        </w:rPr>
        <w:t xml:space="preserve"> al 78,40%.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Al observar su participación sectorial en el PBI nacional, se entiende su enorme peso relativo. Mientras que en la actividad agropecuaria acapara el 42,5% de la producción, en la inversión extranjera y la generación de divisas concentra un 47,6% y un 62%. En lo que hace a exportaciones por su parte acumula el 50,7%, siendo el 36% de las tradicionales y el 67,1% de las no tradicionales de todo el país.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i w:val="1"/>
          <w:color w:val="000000"/>
          <w:rtl w:val="0"/>
        </w:rPr>
        <w:t xml:space="preserve">Principales exportaciones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Sus principales productos de exportación son el gas natural en estado gaseoso y los derivados de la </w:t>
      </w:r>
      <w:hyperlink r:id="rId9">
        <w:r w:rsidDel="00000000" w:rsidR="00000000" w:rsidRPr="00000000">
          <w:rPr>
            <w:i w:val="0"/>
            <w:color w:val="808080"/>
            <w:rtl w:val="0"/>
          </w:rPr>
          <w:t xml:space="preserve">soja</w:t>
        </w:r>
      </w:hyperlink>
      <w:r w:rsidDel="00000000" w:rsidR="00000000" w:rsidRPr="00000000">
        <w:rPr>
          <w:i w:val="0"/>
          <w:color w:val="808080"/>
          <w:rtl w:val="0"/>
        </w:rPr>
        <w:t xml:space="preserve">, petróleo y </w:t>
      </w:r>
      <w:hyperlink r:id="rId10">
        <w:r w:rsidDel="00000000" w:rsidR="00000000" w:rsidRPr="00000000">
          <w:rPr>
            <w:i w:val="0"/>
            <w:color w:val="808080"/>
            <w:rtl w:val="0"/>
          </w:rPr>
          <w:t xml:space="preserve">oro</w:t>
        </w:r>
      </w:hyperlink>
      <w:r w:rsidDel="00000000" w:rsidR="00000000" w:rsidRPr="00000000">
        <w:rPr>
          <w:i w:val="0"/>
          <w:color w:val="808080"/>
          <w:rtl w:val="0"/>
        </w:rPr>
        <w:t xml:space="preserve">, entre otros. Los principales mercados de destino son Colombia (25%), Brasil (22%) y Argentina (13%). Al sudeste del departamento se encuentra el </w:t>
      </w:r>
      <w:hyperlink r:id="rId11">
        <w:r w:rsidDel="00000000" w:rsidR="00000000" w:rsidRPr="00000000">
          <w:rPr>
            <w:i w:val="0"/>
            <w:color w:val="808080"/>
            <w:rtl w:val="0"/>
          </w:rPr>
          <w:t xml:space="preserve">Mutún</w:t>
        </w:r>
      </w:hyperlink>
      <w:r w:rsidDel="00000000" w:rsidR="00000000" w:rsidRPr="00000000">
        <w:rPr>
          <w:i w:val="0"/>
          <w:color w:val="808080"/>
          <w:rtl w:val="0"/>
        </w:rPr>
        <w:t xml:space="preserve"> del cual se exportan al </w:t>
      </w:r>
      <w:hyperlink r:id="rId12">
        <w:r w:rsidDel="00000000" w:rsidR="00000000" w:rsidRPr="00000000">
          <w:rPr>
            <w:i w:val="0"/>
            <w:color w:val="808080"/>
            <w:rtl w:val="0"/>
          </w:rPr>
          <w:t xml:space="preserve">Paraguay</w:t>
        </w:r>
      </w:hyperlink>
      <w:r w:rsidDel="00000000" w:rsidR="00000000" w:rsidRPr="00000000">
        <w:rPr>
          <w:i w:val="0"/>
          <w:color w:val="808080"/>
          <w:rtl w:val="0"/>
        </w:rPr>
        <w:t xml:space="preserve"> alrededor de 100 mil toneladas de </w:t>
      </w:r>
      <w:hyperlink r:id="rId13">
        <w:r w:rsidDel="00000000" w:rsidR="00000000" w:rsidRPr="00000000">
          <w:rPr>
            <w:i w:val="0"/>
            <w:color w:val="808080"/>
            <w:rtl w:val="0"/>
          </w:rPr>
          <w:t xml:space="preserve">hierro</w:t>
        </w:r>
      </w:hyperlink>
      <w:r w:rsidDel="00000000" w:rsidR="00000000" w:rsidRPr="00000000">
        <w:rPr>
          <w:i w:val="0"/>
          <w:color w:val="808080"/>
          <w:rtl w:val="0"/>
        </w:rPr>
        <w:t xml:space="preserve"> al año y también se exportan </w:t>
      </w:r>
      <w:hyperlink r:id="rId14">
        <w:r w:rsidDel="00000000" w:rsidR="00000000" w:rsidRPr="00000000">
          <w:rPr>
            <w:i w:val="0"/>
            <w:color w:val="808080"/>
            <w:rtl w:val="0"/>
          </w:rPr>
          <w:t xml:space="preserve">piedras</w:t>
        </w:r>
      </w:hyperlink>
      <w:r w:rsidDel="00000000" w:rsidR="00000000" w:rsidRPr="00000000">
        <w:rPr>
          <w:i w:val="0"/>
          <w:color w:val="808080"/>
          <w:rtl w:val="0"/>
        </w:rPr>
        <w:t xml:space="preserve"> preciosas como la </w:t>
      </w:r>
      <w:hyperlink r:id="rId15">
        <w:r w:rsidDel="00000000" w:rsidR="00000000" w:rsidRPr="00000000">
          <w:rPr>
            <w:i w:val="0"/>
            <w:color w:val="808080"/>
            <w:rtl w:val="0"/>
          </w:rPr>
          <w:t xml:space="preserve">amatista</w:t>
        </w:r>
      </w:hyperlink>
      <w:r w:rsidDel="00000000" w:rsidR="00000000" w:rsidRPr="00000000">
        <w:rPr>
          <w:i w:val="0"/>
          <w:color w:val="808080"/>
          <w:rtl w:val="0"/>
        </w:rPr>
        <w:t xml:space="preserve">, el citrino y una fusión de estas llamada </w:t>
      </w:r>
      <w:hyperlink r:id="rId16">
        <w:r w:rsidDel="00000000" w:rsidR="00000000" w:rsidRPr="00000000">
          <w:rPr>
            <w:i w:val="0"/>
            <w:color w:val="808080"/>
            <w:rtl w:val="0"/>
          </w:rPr>
          <w:t xml:space="preserve">bolivianita</w:t>
        </w:r>
      </w:hyperlink>
      <w:r w:rsidDel="00000000" w:rsidR="00000000" w:rsidRPr="00000000">
        <w:rPr>
          <w:i w:val="0"/>
          <w:color w:val="808080"/>
          <w:rtl w:val="0"/>
        </w:rPr>
        <w:t xml:space="preserve">, en tanto que la fusión del cristal de roca y la amatista es conocida como la </w:t>
      </w:r>
      <w:hyperlink r:id="rId17">
        <w:r w:rsidDel="00000000" w:rsidR="00000000" w:rsidRPr="00000000">
          <w:rPr>
            <w:i w:val="0"/>
            <w:color w:val="808080"/>
            <w:rtl w:val="0"/>
          </w:rPr>
          <w:t xml:space="preserve">ayoreita</w:t>
        </w:r>
      </w:hyperlink>
      <w:r w:rsidDel="00000000" w:rsidR="00000000" w:rsidRPr="00000000">
        <w:rPr>
          <w:i w:val="0"/>
          <w:color w:val="808080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</w:pPr>
      <w:r w:rsidDel="00000000" w:rsidR="00000000" w:rsidRPr="00000000">
        <w:rPr>
          <w:i w:val="1"/>
          <w:rtl w:val="0"/>
        </w:rPr>
        <w:t xml:space="preserve">Principales cadenas productivas:</w:t>
      </w:r>
    </w:p>
    <w:p w:rsidR="00000000" w:rsidDel="00000000" w:rsidP="00000000" w:rsidRDefault="00000000" w:rsidRPr="00000000">
      <w:pPr>
        <w:spacing w:after="0" w:before="0" w:lineRule="auto"/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Las principales cadenas productivas del Departamento son la azucarera, algodonera, forestal, sojera, lechera y ganadera. La cafetera, la de oleaginosas y la maderera se han fomentado desde 2012 por el Estado así como la de la </w:t>
      </w:r>
      <w:r w:rsidDel="00000000" w:rsidR="00000000" w:rsidRPr="00000000">
        <w:rPr>
          <w:color w:val="808080"/>
          <w:rtl w:val="0"/>
        </w:rPr>
        <w:t xml:space="preserve">papa, la avícola, carne de res, trigo, sector piscícola y el maíz duro (en tanto es el principal insumo para los sectores avícola, porcino y ganadero). Otros rubros que también están tomados en cuenta por la estrategia nacional de desarrollo productivo son frutícola, miel, forrajes, hortalizas y cuero.</w:t>
      </w:r>
    </w:p>
    <w:p w:rsidR="00000000" w:rsidDel="00000000" w:rsidP="00000000" w:rsidRDefault="00000000" w:rsidRPr="00000000">
      <w:pPr>
        <w:spacing w:after="0" w:before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</w:pPr>
      <w:r w:rsidDel="00000000" w:rsidR="00000000" w:rsidRPr="00000000">
        <w:rPr>
          <w:i w:val="1"/>
          <w:rtl w:val="0"/>
        </w:rPr>
        <w:t xml:space="preserve">Estructura económica: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En 2014, el sector primario acumuló el 27% del PBI, mientras el sector secundario el 29% y los servicios, un 45%.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Cambria" w:cs="Cambria" w:eastAsia="Cambria" w:hAnsi="Cambria"/>
      <w:b w:val="0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/>
    </w:tcPr>
    <w:tblStylePr w:type="band1Horz">
      <w:pPr>
        <w:contextualSpacing w:val="1"/>
      </w:pPr>
      <w:rPr/>
      <w:tcPr>
        <w:shd w:fill="a7c0de"/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shd w:fill="a7c0de"/>
        <w:tcMar>
          <w:left w:w="115.0" w:type="dxa"/>
          <w:right w:w="115.0" w:type="dxa"/>
        </w:tcMar>
      </w:tcPr>
    </w:tblStylePr>
    <w:tblStylePr w:type="band2Horz"/>
    <w:tblStylePr w:type="band2Vert"/>
    <w:tblStylePr w:type="firstCol">
      <w:pPr>
        <w:contextualSpacing w:val="1"/>
      </w:pPr>
      <w:rPr>
        <w:color w:val="ffffff"/>
      </w:rPr>
      <w:tcPr>
        <w:shd w:fill="366091"/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>
        <w:b w:val="1"/>
      </w:rPr>
      <w:tcPr>
        <w:shd w:fill="b8cce4"/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>
        <w:color w:val="ffffff"/>
      </w:rPr>
      <w:tcPr>
        <w:shd w:fill="366091"/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>
        <w:b w:val="1"/>
        <w:color w:val="000000"/>
      </w:rPr>
      <w:tcPr>
        <w:shd w:fill="b8cce4"/>
        <w:tcMar>
          <w:left w:w="115.0" w:type="dxa"/>
          <w:right w:w="115.0" w:type="dxa"/>
        </w:tcMar>
      </w:tcPr>
    </w:tblStylePr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s.wikipedia.org/wiki/Mut%C3%BAn" TargetMode="External"/><Relationship Id="rId10" Type="http://schemas.openxmlformats.org/officeDocument/2006/relationships/hyperlink" Target="https://es.wikipedia.org/wiki/Oro" TargetMode="External"/><Relationship Id="rId13" Type="http://schemas.openxmlformats.org/officeDocument/2006/relationships/hyperlink" Target="https://es.wikipedia.org/wiki/Hierro" TargetMode="External"/><Relationship Id="rId12" Type="http://schemas.openxmlformats.org/officeDocument/2006/relationships/hyperlink" Target="https://es.wikipedia.org/wiki/Paraguay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es.wikipedia.org/wiki/Soja" TargetMode="External"/><Relationship Id="rId15" Type="http://schemas.openxmlformats.org/officeDocument/2006/relationships/hyperlink" Target="https://es.wikipedia.org/wiki/Amatista" TargetMode="External"/><Relationship Id="rId14" Type="http://schemas.openxmlformats.org/officeDocument/2006/relationships/hyperlink" Target="https://es.wikipedia.org/wiki/Piedra" TargetMode="External"/><Relationship Id="rId17" Type="http://schemas.openxmlformats.org/officeDocument/2006/relationships/hyperlink" Target="https://es.wikipedia.org/wiki/Ayoreita" TargetMode="External"/><Relationship Id="rId16" Type="http://schemas.openxmlformats.org/officeDocument/2006/relationships/hyperlink" Target="https://es.wikipedia.org/wiki/Bolivianita" TargetMode="Externa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hyperlink" Target="https://es.wikipedia.org/wiki/Oleaginosa" TargetMode="External"/><Relationship Id="rId8" Type="http://schemas.openxmlformats.org/officeDocument/2006/relationships/hyperlink" Target="https://es.wikipedia.org/wiki/Ca%C3%B1a_de_az%C3%BAcar" TargetMode="External"/></Relationships>
</file>