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Subtitle"/>
        <w:contextualSpacing w:val="0"/>
      </w:pPr>
      <w:r w:rsidDel="00000000" w:rsidR="00000000" w:rsidRPr="00000000">
        <w:rPr>
          <w:rtl w:val="0"/>
        </w:rPr>
        <w:t xml:space="preserve">Tarija - Bolivia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3722977</wp:posOffset>
            </wp:positionH>
            <wp:positionV relativeFrom="paragraph">
              <wp:posOffset>-688779</wp:posOffset>
            </wp:positionV>
            <wp:extent cx="2632668" cy="2602175"/>
            <wp:effectExtent b="0" l="0" r="0" t="0"/>
            <wp:wrapNone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2668" cy="2602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38100</wp:posOffset>
                </wp:positionH>
                <wp:positionV relativeFrom="paragraph">
                  <wp:posOffset>228600</wp:posOffset>
                </wp:positionV>
                <wp:extent cx="267970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04544" y="3780000"/>
                          <a:ext cx="2682909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38100</wp:posOffset>
                </wp:positionH>
                <wp:positionV relativeFrom="paragraph">
                  <wp:posOffset>228600</wp:posOffset>
                </wp:positionV>
                <wp:extent cx="2679700" cy="12700"/>
                <wp:effectExtent b="0" l="0" r="0" t="0"/>
                <wp:wrapNone/>
                <wp:docPr id="2" name="image03.png"/>
                <a:graphic>
                  <a:graphicData uri="http://schemas.openxmlformats.org/drawingml/2006/picture">
                    <pic:pic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9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color w:val="808080"/>
          <w:rtl w:val="0"/>
        </w:rPr>
        <w:t xml:space="preserve">Ciudad Capital: </w:t>
      </w:r>
      <w:r w:rsidDel="00000000" w:rsidR="00000000" w:rsidRPr="00000000">
        <w:rPr>
          <w:i w:val="0"/>
          <w:color w:val="808080"/>
          <w:rtl w:val="0"/>
        </w:rPr>
        <w:t xml:space="preserve">Tarija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color w:val="808080"/>
          <w:rtl w:val="0"/>
        </w:rPr>
        <w:t xml:space="preserve">Superficie: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i w:val="0"/>
          <w:color w:val="808080"/>
          <w:rtl w:val="0"/>
        </w:rPr>
        <w:t xml:space="preserve">37.623 Km</w:t>
      </w:r>
      <w:r w:rsidDel="00000000" w:rsidR="00000000" w:rsidRPr="00000000">
        <w:rPr>
          <w:i w:val="0"/>
          <w:color w:val="808080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color w:val="808080"/>
          <w:rtl w:val="0"/>
        </w:rPr>
        <w:t xml:space="preserve">Población: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i w:val="0"/>
          <w:color w:val="808080"/>
          <w:rtl w:val="0"/>
        </w:rPr>
        <w:t xml:space="preserve">483.518 habitantes (2012)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color w:val="808080"/>
          <w:rtl w:val="0"/>
        </w:rPr>
        <w:t xml:space="preserve">Gobernador Adrián Oliva Alcázar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4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ffffff" w:space="0" w:sz="4" w:val="single"/>
          <w:insideV w:color="000000" w:space="0" w:sz="4" w:val="single"/>
        </w:tblBorders>
        <w:tblLayout w:type="fixed"/>
        <w:tblLook w:val="04A0"/>
      </w:tblPr>
      <w:tblGrid>
        <w:gridCol w:w="2280"/>
        <w:gridCol w:w="2895"/>
        <w:gridCol w:w="1545"/>
        <w:gridCol w:w="945"/>
        <w:gridCol w:w="1785"/>
        <w:tblGridChange w:id="0">
          <w:tblGrid>
            <w:gridCol w:w="2280"/>
            <w:gridCol w:w="2895"/>
            <w:gridCol w:w="1545"/>
            <w:gridCol w:w="945"/>
            <w:gridCol w:w="1785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Indicadores de referencia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Indicador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Valor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Año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Fuente</w:t>
            </w:r>
          </w:p>
        </w:tc>
      </w:tr>
      <w:tr>
        <w:tc>
          <w:tcPr>
            <w:shd w:fill="95b3d7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Educación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Tasa de Alfabetismo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(Población 15 años y más)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92,11%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2013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INEB</w:t>
            </w:r>
          </w:p>
        </w:tc>
      </w:tr>
      <w:tr>
        <w:tc>
          <w:tcPr>
            <w:shd w:fill="95b3d7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Salud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Mortalidad Infantil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(cada 1.000 nacidos)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123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2008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INEB</w:t>
            </w:r>
          </w:p>
        </w:tc>
      </w:tr>
      <w:tr>
        <w:tc>
          <w:tcPr>
            <w:shd w:fill="95b3d7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Empleo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PEA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236.427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2012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INEB</w:t>
            </w:r>
          </w:p>
        </w:tc>
      </w:tr>
      <w:tr>
        <w:tc>
          <w:tcPr>
            <w:shd w:fill="95b3d7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PBI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Participación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en el PBI nacional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14,31</w:t>
            </w:r>
            <w:r w:rsidDel="00000000" w:rsidR="00000000" w:rsidRPr="00000000">
              <w:rPr>
                <w:rtl w:val="0"/>
              </w:rPr>
              <w:t xml:space="preserve">%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2013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INEB</w:t>
            </w:r>
          </w:p>
        </w:tc>
      </w:tr>
      <w:tr>
        <w:tc>
          <w:tcPr>
            <w:shd w:fill="95b3d7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Exportaciones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Valor de exportaciones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anuales (en US$)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2.912.868.807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2015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IBCE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95b3d7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IDH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Índice de Desarrollo Humano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0,641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2015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PNUD</w:t>
            </w:r>
          </w:p>
        </w:tc>
      </w:tr>
      <w:tr>
        <w:tc>
          <w:tcPr>
            <w:shd w:fill="95b3d7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Pobreza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Porcentaje de Pobreza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34,6%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2012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INEB</w:t>
            </w:r>
          </w:p>
        </w:tc>
      </w:tr>
      <w:tr>
        <w:tc>
          <w:tcPr>
            <w:shd w:fill="95b3d7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Estructura económica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Cantidad de empresas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14.977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2016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FUNDAEMPRESA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i w:val="1"/>
          <w:rtl w:val="0"/>
        </w:rPr>
        <w:t xml:space="preserve">Principales actividades económicas: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0"/>
          <w:color w:val="808080"/>
          <w:rtl w:val="0"/>
        </w:rPr>
        <w:t xml:space="preserve">Las actividades más redituables del departamento son la extracción llevada a cabo en minas y canteras; seguidas de las que agrupan trabajos relativos al transporte, almacenamiento y las comunicaciones. Sin embargo, históricamente se trata de un departamento preferencialmente agricultor (3ra actividad productiva actual) que emplea a un tercio de la población.</w:t>
      </w:r>
      <w:r w:rsidDel="00000000" w:rsidR="00000000" w:rsidRPr="00000000">
        <w:rPr>
          <w:i w:val="1"/>
          <w:color w:val="808080"/>
          <w:rtl w:val="0"/>
        </w:rPr>
        <w:t xml:space="preserve"> </w:t>
      </w:r>
      <w:r w:rsidDel="00000000" w:rsidR="00000000" w:rsidRPr="00000000">
        <w:rPr>
          <w:i w:val="0"/>
          <w:color w:val="808080"/>
          <w:rtl w:val="0"/>
        </w:rPr>
        <w:t xml:space="preserve">Tradicionalmente, Tarija se distinguió por su producción de uvas, vinos y singanis (80% cultivos nacionales). Sin embargo –como se verá–, sus tasas de crecimiento han perdido dinamismo, relacionado con la limitada productividad, el bajo nivel tecnológico y de innovación en el sector, así como las dificultades persistentes en el acceso al capital que contribuya a ello y en general al aumento de la productividad, al mejoramiento de la calidad, a una mayor generación de valor agregado. 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0"/>
          <w:color w:val="808080"/>
          <w:rtl w:val="0"/>
        </w:rPr>
        <w:t xml:space="preserve">Es claro que la economía tarijeña se ha consolidado fundamentalmente a partir del desarrollo del sector de hidrocarburos en los últimos años, pero el crecimiento de otros sectores resulta no sólo posible, sino necesario y estratégico en relación con las demandas y las oportunidades. Las ventajas agroecológicas que ofrece el territorio del Departamento de Tarija pueden aprovecharse para un crecimiento sustancial del sector, y de otros a partir de los encadenamientos (por ejemplo el sector agroindustrial), y de la estructura económica departamental y nacional en su conjunto, con la importancia que además tiene la actividad agropecuaria frente a las crecientes preocupaciones sobre el tema de la seguridad alimentaria de la población.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</w:pPr>
      <w:bookmarkStart w:colFirst="0" w:colLast="0" w:name="_gjdgxs" w:id="0"/>
      <w:bookmarkEnd w:id="0"/>
      <w:r w:rsidDel="00000000" w:rsidR="00000000" w:rsidRPr="00000000">
        <w:rPr>
          <w:i w:val="1"/>
          <w:rtl w:val="0"/>
        </w:rPr>
        <w:t xml:space="preserve">Principales exportaciones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0"/>
          <w:color w:val="808080"/>
          <w:rtl w:val="0"/>
        </w:rPr>
        <w:t xml:space="preserve">En cuanto a las exportaciones del departamento, nos encontramos ante 52 productos relacionados al gas natural y sus derivados, así como los de petróleo, los de la soya y los alcoholes.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0"/>
          <w:color w:val="808080"/>
          <w:rtl w:val="0"/>
        </w:rPr>
        <w:t xml:space="preserve">Sin embargo, el gas natural por su parte concentró en 2015 el 98,77% de las exportaciones departamentales implicando el ingreso de 2.876.962.968 US$.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0"/>
          <w:color w:val="808080"/>
          <w:rtl w:val="0"/>
        </w:rPr>
        <w:t xml:space="preserve">Los mercados de destino de las exportaciones del departamento son Brasil en un 62,23% y Argentina en un 3,5% seguidos de lejos por Paraguay con el 0.16%.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i w:val="1"/>
          <w:rtl w:val="0"/>
        </w:rPr>
        <w:t xml:space="preserve">Principales cadenas productivas: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color w:val="808080"/>
          <w:rtl w:val="0"/>
        </w:rPr>
        <w:t xml:space="preserve">Las principales cadenas productivas de Tarija se posicionan en torno de los camélidos, la vitivinícola, turística, los bovinos de carne, maderera, azucarera, de bovinos de leche y alfalfa, textiles, el maní, las hortalizas, apícola, maíz, cerámica, frutas, metalmecánica, cítricos, porcinos y jamón, papa.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i w:val="1"/>
          <w:rtl w:val="0"/>
        </w:rPr>
        <w:t xml:space="preserve">Estructura económica: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color w:val="808080"/>
          <w:rtl w:val="0"/>
        </w:rPr>
        <w:t xml:space="preserve">En 2014, el sector primario acumuló un gigante 62% del PBI, mientras el sector secundario el pobrísimo 12% y los servicios, un 26%.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="276" w:lineRule="auto"/>
    </w:pPr>
    <w:rPr>
      <w:rFonts w:ascii="Cambria" w:cs="Cambria" w:eastAsia="Cambria" w:hAnsi="Cambria"/>
      <w:b w:val="0"/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/>
    </w:tcPr>
    <w:tblStylePr w:type="band1Horz">
      <w:pPr>
        <w:contextualSpacing w:val="1"/>
      </w:pPr>
      <w:rPr/>
      <w:tcPr>
        <w:shd w:fill="a7c0de"/>
        <w:tcMar>
          <w:left w:w="115.0" w:type="dxa"/>
          <w:right w:w="115.0" w:type="dxa"/>
        </w:tcMar>
      </w:tcPr>
    </w:tblStylePr>
    <w:tblStylePr w:type="band1Vert">
      <w:pPr>
        <w:contextualSpacing w:val="1"/>
      </w:pPr>
      <w:rPr/>
      <w:tcPr>
        <w:shd w:fill="a7c0de"/>
        <w:tcMar>
          <w:left w:w="115.0" w:type="dxa"/>
          <w:right w:w="115.0" w:type="dxa"/>
        </w:tcMar>
      </w:tcPr>
    </w:tblStylePr>
    <w:tblStylePr w:type="band2Horz"/>
    <w:tblStylePr w:type="band2Vert"/>
    <w:tblStylePr w:type="firstCol">
      <w:pPr>
        <w:contextualSpacing w:val="1"/>
      </w:pPr>
      <w:rPr>
        <w:color w:val="ffffff"/>
      </w:rPr>
      <w:tcPr>
        <w:shd w:fill="366091"/>
        <w:tcMar>
          <w:left w:w="115.0" w:type="dxa"/>
          <w:right w:w="115.0" w:type="dxa"/>
        </w:tcMar>
      </w:tcPr>
    </w:tblStylePr>
    <w:tblStylePr w:type="firstRow">
      <w:pPr>
        <w:contextualSpacing w:val="1"/>
      </w:pPr>
      <w:rPr>
        <w:b w:val="1"/>
      </w:rPr>
      <w:tcPr>
        <w:shd w:fill="b8cce4"/>
        <w:tcMar>
          <w:left w:w="115.0" w:type="dxa"/>
          <w:right w:w="115.0" w:type="dxa"/>
        </w:tcMar>
      </w:tcPr>
    </w:tblStylePr>
    <w:tblStylePr w:type="lastCol">
      <w:pPr>
        <w:contextualSpacing w:val="1"/>
      </w:pPr>
      <w:rPr>
        <w:color w:val="ffffff"/>
      </w:rPr>
      <w:tcPr>
        <w:shd w:fill="366091"/>
        <w:tcMar>
          <w:left w:w="115.0" w:type="dxa"/>
          <w:right w:w="115.0" w:type="dxa"/>
        </w:tcMar>
      </w:tcPr>
    </w:tblStylePr>
    <w:tblStylePr w:type="lastRow">
      <w:pPr>
        <w:contextualSpacing w:val="1"/>
      </w:pPr>
      <w:rPr>
        <w:b w:val="1"/>
        <w:color w:val="000000"/>
      </w:rPr>
      <w:tcPr>
        <w:shd w:fill="b8cce4"/>
        <w:tcMar>
          <w:left w:w="115.0" w:type="dxa"/>
          <w:right w:w="115.0" w:type="dxa"/>
        </w:tcMar>
      </w:tcPr>
    </w:tblStylePr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Relationship Id="rId6" Type="http://schemas.openxmlformats.org/officeDocument/2006/relationships/image" Target="media/image03.png"/></Relationships>
</file>