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color w:val="5f497a"/>
          <w:rtl w:val="0"/>
        </w:rPr>
        <w:t xml:space="preserve">Mato Grosso do Sul - Brasil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3722977</wp:posOffset>
            </wp:positionH>
            <wp:positionV relativeFrom="paragraph">
              <wp:posOffset>-688779</wp:posOffset>
            </wp:positionV>
            <wp:extent cx="2632668" cy="2602175"/>
            <wp:effectExtent b="0" l="0" r="0" t="0"/>
            <wp:wrapNone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668" cy="260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4544" y="3780000"/>
                          <a:ext cx="268290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Ciudad Capital: </w:t>
      </w:r>
      <w:r w:rsidDel="00000000" w:rsidR="00000000" w:rsidRPr="00000000">
        <w:rPr>
          <w:i w:val="0"/>
          <w:color w:val="808080"/>
          <w:rtl w:val="0"/>
        </w:rPr>
        <w:t xml:space="preserve">Campo Grande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Superficie: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357.145,534 Km</w:t>
      </w:r>
      <w:r w:rsidDel="00000000" w:rsidR="00000000" w:rsidRPr="00000000">
        <w:rPr>
          <w:i w:val="0"/>
          <w:color w:val="80808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Población: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2.449.024</w:t>
      </w:r>
      <w:r w:rsidDel="00000000" w:rsidR="00000000" w:rsidRPr="00000000">
        <w:rPr>
          <w:rFonts w:ascii="Arial" w:cs="Arial" w:eastAsia="Arial" w:hAnsi="Arial"/>
          <w:b w:val="1"/>
          <w:color w:val="6d6d6d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habitantes (2010)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Jefe de Gobierno </w:t>
      </w:r>
      <w:r w:rsidDel="00000000" w:rsidR="00000000" w:rsidRPr="00000000">
        <w:rPr>
          <w:i w:val="0"/>
          <w:color w:val="808080"/>
          <w:rtl w:val="0"/>
        </w:rPr>
        <w:t xml:space="preserve">Reinaldo Azambuja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4" w:val="single"/>
          <w:insideV w:color="000000" w:space="0" w:sz="4" w:val="single"/>
        </w:tblBorders>
        <w:tblLayout w:type="fixed"/>
        <w:tblLook w:val="04A0"/>
      </w:tblPr>
      <w:tblGrid>
        <w:gridCol w:w="1860"/>
        <w:gridCol w:w="2880"/>
        <w:gridCol w:w="1275"/>
        <w:gridCol w:w="1050"/>
        <w:gridCol w:w="825"/>
        <w:gridCol w:w="1155"/>
        <w:tblGridChange w:id="0">
          <w:tblGrid>
            <w:gridCol w:w="1860"/>
            <w:gridCol w:w="2880"/>
            <w:gridCol w:w="1275"/>
            <w:gridCol w:w="1050"/>
            <w:gridCol w:w="825"/>
            <w:gridCol w:w="115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Indicadores de referencia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% en país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Fuente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Educación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Tasa de Analfabetismo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9,5%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IBGE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Establecimientos de salud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1458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2009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IBGE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Empleo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PEA Ocupada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(Personas)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653.000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IBGE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PBI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PBI (Millones de Reales)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69.118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1,9%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IBGE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PBG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Producto Bruto Geográfico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(En Billones de Reales)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43,5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Data-Viva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Exportaciones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 de exportaciones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 (en milles de US$ FOB)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5.245.500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2,3%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Data-Viva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IDH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Índice de Desarrollo Humano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0,830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PNUD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Ingresos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Ingreso nominal mensual per cápita del hogar (Reales)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1.045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IBGE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Estructura económica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Cantidad de empresas exportadoras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192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MDIC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actividades económicas: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El estado de Mato Grosso do Sul, cuenta con una localización geográfica estratégica para su desarrollo económico y una considerable infraestructura que potencia sus comunicaciones. Su economía es de base rural –soja, maíz, trigo, caña de azúcar</w:t>
      </w:r>
      <w:r w:rsidDel="00000000" w:rsidR="00000000" w:rsidRPr="00000000">
        <w:rPr>
          <w:color w:val="808080"/>
          <w:rtl w:val="0"/>
        </w:rPr>
        <w:t xml:space="preserve">, porotos, almidón, ananá, </w:t>
      </w:r>
      <w:r w:rsidDel="00000000" w:rsidR="00000000" w:rsidRPr="00000000">
        <w:rPr>
          <w:i w:val="0"/>
          <w:color w:val="808080"/>
          <w:rtl w:val="0"/>
        </w:rPr>
        <w:t xml:space="preserve">crianza de</w:t>
      </w:r>
      <w:r w:rsidDel="00000000" w:rsidR="00000000" w:rsidRPr="00000000">
        <w:rPr>
          <w:color w:val="808080"/>
          <w:rtl w:val="0"/>
        </w:rPr>
        <w:t xml:space="preserve"> animales- que dan sustento a la producción de alimentos, articulada con</w:t>
      </w:r>
      <w:r w:rsidDel="00000000" w:rsidR="00000000" w:rsidRPr="00000000">
        <w:rPr>
          <w:i w:val="0"/>
          <w:color w:val="808080"/>
          <w:rtl w:val="0"/>
        </w:rPr>
        <w:t xml:space="preserve"> industrias, turismo, servicios y actividades extractivas desarrolladas. Sin embargo, la administración pública es la principal actividad en cantidad de trabajadores, ocupando 107.000 puestos de trabajo.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Cuenta con ciertas actividades extractivas como ser la minería de hierro, manganeso y calcáreo articulada con la industria del cemento.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exportaciones: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Mientras que hasta hace unos años, la mayor exportación estatal era la de celulosa; en 2016 la soja implicó el 29% del valor de las exportaciones, con 1.32 billones de USD de ganancias dejando a la celulosa en segundo lugar con el 24%. En tercer puesto se ubicó el maíz (15%), seguido por la carne de vaca congelada (6,2%), el pollo (4,8%) y la carne de vaca sin congelar (2,6%).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Los principales mercados de destino para dichos productos, han sido en 2016 principalmente aquellos del lejano Oriente (73%) y un 14% a distintos destinos de Europa; lo que implicó un desplazamiento de las ventas a otros países de Sudamérica de un 15 a un 6,1% en dos años. Los países de destino fueron principalmente China (36%), Italia (6%), Tailandia (5,4%) y Vietnam (4,8%).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cadenas productivas: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Las cadenas más desarrolladas de la región, son la avícola, seguida de la algodonera. Luego se posicionan la producción vacuna (de carne, cuero y leche), la cadena arrocera, la de mandioca, la piscícola, sojera, minero-siderúrgica y la suina. Por su parte, se están desarrollando intentos valiosos de reconversión de los residuos sólidos de la urbe de Campo Grande, de la mano con la producción de etanol a base de azúcar que lleva un tiempo en el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Estructura económica: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Según datos de 2013, el sector primario implicaba el 17,75% del PBI departamental, la industria el 22.16% y el área de servicios el 60.09%. La economía productiva de Mato Grosso do Sul se basa en gran medida en l</w:t>
      </w:r>
      <w:r w:rsidDel="00000000" w:rsidR="00000000" w:rsidRPr="00000000">
        <w:rPr>
          <w:color w:val="808080"/>
          <w:rtl w:val="0"/>
        </w:rPr>
        <w:t xml:space="preserve">as actividades agropecuarias vinculadas al ganado bovino</w:t>
      </w:r>
      <w:r w:rsidDel="00000000" w:rsidR="00000000" w:rsidRPr="00000000">
        <w:rPr>
          <w:color w:val="808080"/>
          <w:rtl w:val="0"/>
        </w:rPr>
        <w:t xml:space="preserve"> (que representa alrededor del 30% del PBI estadual). El sector primario que lo cría así como la</w:t>
      </w:r>
      <w:r w:rsidDel="00000000" w:rsidR="00000000" w:rsidRPr="00000000">
        <w:rPr>
          <w:color w:val="808080"/>
          <w:rtl w:val="0"/>
        </w:rPr>
        <w:t xml:space="preserve"> industria está primada por frigoríficos, curtiembres, tambos y producción de lácteos. Por su parte, las industrias alimenticia y maderera, así como la de transformación de no-metálicos son considerables, junto con la producción cementera y la textil. Mientras una gran parte del sector de terciario se debe a los servicios relacionados con el turismo. 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5dfec"/>
    </w:tcPr>
    <w:tblStylePr w:type="band1Horz">
      <w:pPr>
        <w:contextualSpacing w:val="1"/>
      </w:pPr>
      <w:rPr/>
      <w:tcPr>
        <w:shd w:fill="bfb1d0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shd w:fill="bfb1d0"/>
        <w:tcMar>
          <w:left w:w="115.0" w:type="dxa"/>
          <w:right w:w="115.0" w:type="dxa"/>
        </w:tcMar>
      </w:tcPr>
    </w:tblStylePr>
    <w:tblStylePr w:type="band2Horz"/>
    <w:tblStylePr w:type="band2Vert"/>
    <w:tblStylePr w:type="firstCol">
      <w:pPr>
        <w:contextualSpacing w:val="1"/>
      </w:pPr>
      <w:rPr>
        <w:color w:val="ffffff"/>
      </w:rPr>
      <w:tcPr>
        <w:shd w:fill="5f497a"/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>
        <w:b w:val="1"/>
      </w:rPr>
      <w:tcPr>
        <w:shd w:fill="ccc1d9"/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color w:val="ffffff"/>
      </w:rPr>
      <w:tcPr>
        <w:shd w:fill="5f497a"/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>
        <w:b w:val="1"/>
        <w:color w:val="000000"/>
      </w:rPr>
      <w:tcPr>
        <w:shd w:fill="ccc1d9"/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